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EB3" w:rsidRDefault="00B50EB3" w:rsidP="00B50EB3">
      <w:pPr>
        <w:jc w:val="center"/>
        <w:rPr>
          <w:rFonts w:ascii="Times New Roman" w:hAnsi="Times New Roman" w:cs="Times New Roman"/>
          <w:b/>
          <w:sz w:val="24"/>
        </w:rPr>
      </w:pPr>
      <w:r w:rsidRPr="000B427F">
        <w:rPr>
          <w:rFonts w:ascii="Times New Roman" w:hAnsi="Times New Roman" w:cs="Times New Roman"/>
          <w:b/>
          <w:sz w:val="24"/>
        </w:rPr>
        <w:t>Tablica aktivnosti sustava osiguravanja kvalitete Sveučilišta Jurja Dobrile u Puli</w:t>
      </w:r>
    </w:p>
    <w:p w:rsidR="00B50EB3" w:rsidRDefault="00B50EB3" w:rsidP="00B50EB3">
      <w:pPr>
        <w:jc w:val="center"/>
        <w:rPr>
          <w:rFonts w:ascii="Times New Roman" w:hAnsi="Times New Roman" w:cs="Times New Roman"/>
          <w:b/>
          <w:sz w:val="24"/>
        </w:rPr>
      </w:pPr>
    </w:p>
    <w:p w:rsidR="00B50EB3" w:rsidRPr="000B427F" w:rsidRDefault="00B50EB3" w:rsidP="00B50EB3">
      <w:pPr>
        <w:ind w:left="1080"/>
        <w:rPr>
          <w:rFonts w:ascii="Times New Roman" w:hAnsi="Times New Roman" w:cs="Times New Roman"/>
          <w:b/>
        </w:rPr>
      </w:pPr>
      <w:bookmarkStart w:id="0" w:name="_GoBack"/>
      <w:r w:rsidRPr="000B427F">
        <w:rPr>
          <w:rFonts w:ascii="Times New Roman" w:hAnsi="Times New Roman" w:cs="Times New Roman"/>
          <w:b/>
        </w:rPr>
        <w:t>III. NASTAVNI KAPACITETI I PODRŠKA STUDENTIMA</w:t>
      </w:r>
    </w:p>
    <w:bookmarkEnd w:id="0"/>
    <w:p w:rsidR="00F8696E" w:rsidRDefault="00F8696E"/>
    <w:tbl>
      <w:tblPr>
        <w:tblStyle w:val="ListTable4-Accent2"/>
        <w:tblW w:w="0" w:type="auto"/>
        <w:tblBorders>
          <w:top w:val="single" w:sz="4" w:space="0" w:color="BEA505"/>
          <w:left w:val="single" w:sz="4" w:space="0" w:color="BEA505"/>
          <w:bottom w:val="single" w:sz="4" w:space="0" w:color="BEA505"/>
          <w:right w:val="single" w:sz="4" w:space="0" w:color="BEA505"/>
          <w:insideH w:val="single" w:sz="4" w:space="0" w:color="BEA505"/>
          <w:insideV w:val="single" w:sz="4" w:space="0" w:color="BEA505"/>
        </w:tblBorders>
        <w:tblLook w:val="04A0" w:firstRow="1" w:lastRow="0" w:firstColumn="1" w:lastColumn="0" w:noHBand="0" w:noVBand="1"/>
      </w:tblPr>
      <w:tblGrid>
        <w:gridCol w:w="1882"/>
        <w:gridCol w:w="1208"/>
        <w:gridCol w:w="1947"/>
        <w:gridCol w:w="2241"/>
        <w:gridCol w:w="1910"/>
        <w:gridCol w:w="2016"/>
        <w:gridCol w:w="1746"/>
      </w:tblGrid>
      <w:tr w:rsidR="00B50EB3" w:rsidRPr="000B427F" w:rsidTr="00D34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Cilj</w:t>
            </w:r>
          </w:p>
        </w:tc>
        <w:tc>
          <w:tcPr>
            <w:tcW w:w="1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Šifra aktivnosti</w:t>
            </w:r>
          </w:p>
        </w:tc>
        <w:tc>
          <w:tcPr>
            <w:tcW w:w="2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Aktivnost</w:t>
            </w:r>
          </w:p>
        </w:tc>
        <w:tc>
          <w:tcPr>
            <w:tcW w:w="25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Pokazatelj uspješnosti</w:t>
            </w:r>
          </w:p>
        </w:tc>
        <w:tc>
          <w:tcPr>
            <w:tcW w:w="20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Nadležnost za prijedlog / izradu</w:t>
            </w:r>
          </w:p>
        </w:tc>
        <w:tc>
          <w:tcPr>
            <w:tcW w:w="20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Nadležnost za provjeru/usvajanje</w:t>
            </w:r>
          </w:p>
        </w:tc>
        <w:tc>
          <w:tcPr>
            <w:tcW w:w="1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Dinamika provedbe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Uvjeti za upis ili nastavak studija usklađeni su sa zahtjevima studijskog programa i dosljedno se primjenjuju</w:t>
            </w:r>
          </w:p>
        </w:tc>
        <w:tc>
          <w:tcPr>
            <w:tcW w:w="1265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III-A1</w:t>
            </w:r>
          </w:p>
        </w:tc>
        <w:tc>
          <w:tcPr>
            <w:tcW w:w="2098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Dosljedno primjenjivati kriterije za upis ili nastavak studija</w:t>
            </w:r>
          </w:p>
        </w:tc>
        <w:tc>
          <w:tcPr>
            <w:tcW w:w="2592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Upisne kvote donose su sukladno Pravilniku o studiranju</w:t>
            </w:r>
          </w:p>
        </w:tc>
        <w:tc>
          <w:tcPr>
            <w:tcW w:w="2083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  <w:r>
              <w:rPr>
                <w:rFonts w:ascii="Times New Roman" w:hAnsi="Times New Roman" w:cs="Times New Roman"/>
              </w:rPr>
              <w:t>, čelnici sastavnica</w:t>
            </w:r>
          </w:p>
        </w:tc>
        <w:tc>
          <w:tcPr>
            <w:tcW w:w="2019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Fakultetsko vijeće, </w:t>
            </w: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59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Jednom godišnje, do 31.03.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B50EB3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Upisi na preddiplomskim studijima odvijaju se prema rang listama i dobivenom upisnom broju u sustavu Postani student</w:t>
            </w:r>
          </w:p>
        </w:tc>
        <w:tc>
          <w:tcPr>
            <w:tcW w:w="2083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</w:t>
            </w:r>
          </w:p>
        </w:tc>
        <w:tc>
          <w:tcPr>
            <w:tcW w:w="2019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Upisi na diplomskim studijima provode se prema službenim rang listama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Povjerenstvo za upis,</w:t>
            </w:r>
          </w:p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0B427F">
              <w:rPr>
                <w:rFonts w:ascii="Times New Roman" w:hAnsi="Times New Roman" w:cs="Times New Roman"/>
              </w:rPr>
              <w:t xml:space="preserve">Upisi na poslijediplomskim doktorskim studijima odvijaju se prema službenim rang listama i sukladno Pravilniku o poslijediplomskim sveučilišnim </w:t>
            </w:r>
            <w:r w:rsidRPr="000B427F">
              <w:rPr>
                <w:rFonts w:ascii="Times New Roman" w:hAnsi="Times New Roman" w:cs="Times New Roman"/>
              </w:rPr>
              <w:lastRenderedPageBreak/>
              <w:t>studijima– doktorskim studijima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lastRenderedPageBreak/>
              <w:t>Povjerenstvo za upis</w:t>
            </w:r>
          </w:p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poslijediplomske studije i cjeloživotno obrazovanje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raspisanom natječaju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Upisi na poslijediplomskim specijalističkim studijima odvijaju se prema službenim rang listama i sukladno Pravilniku o poslijediplomskim specijalističkim studijima 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poslijediplomske studije i cjeloživotno obrazovanje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raspisanom natječaju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Zamolbe za nastavak studija studenata rješavaju se sukladno Pravilniku o studiju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Definiran postupak priznavanja inozemnih visokoškolskih kvalifikacija i razdoblje studija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Povjerenstva za akademsko priznavanje inozemnih visokoškolskih kvalifikacija i razdoblja studija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Povjerenstva za akademsko priznavanje inozemnih visokoškolskih kvalifikacija i razdoblja studija: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Definiran postupak u Pravilniku za studiranje za priznavanje prethodno učenja – </w:t>
            </w:r>
            <w:proofErr w:type="spellStart"/>
            <w:r w:rsidRPr="000B427F">
              <w:rPr>
                <w:rFonts w:ascii="Times New Roman" w:hAnsi="Times New Roman" w:cs="Times New Roman"/>
              </w:rPr>
              <w:t>prijalaz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/ priznavanje kolegija i ECTS bodova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studente/ nastavnici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studente/ nastavnici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Prikupljati i analizirati podatke o napredovanju studenata na </w:t>
            </w: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lastRenderedPageBreak/>
              <w:t xml:space="preserve">studiju i na temelju njih osigurati kontinuitet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i uspješnost </w:t>
            </w: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studiranja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III-A2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Redovito prikupljati i analizirati podatke o napredovanju </w:t>
            </w:r>
            <w:r w:rsidRPr="000B427F">
              <w:rPr>
                <w:rFonts w:ascii="Times New Roman" w:hAnsi="Times New Roman" w:cs="Times New Roman"/>
              </w:rPr>
              <w:lastRenderedPageBreak/>
              <w:t>studenata na studiju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lastRenderedPageBreak/>
              <w:t>Prikupljeni podaci o prohodnosti na studiju i prolaznosti studenata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Izrada analize studiranja na Sveučilištu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</w:t>
            </w:r>
          </w:p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 w:val="restart"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Osigurati poučavanje usmjereno na studenta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III-A3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Poticati različite načine izvođenja nastave u skladu s predviđenim ishodima učenja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 se usavršavaju u području korištenja različitih (najprimjerenijih) načina izvođenja nastave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Odjek/katedra</w:t>
            </w:r>
          </w:p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Prema potrebi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Redovito se održava terenska nastava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Nositelj kolegija</w:t>
            </w:r>
          </w:p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Odjek/katedra</w:t>
            </w:r>
          </w:p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Redovito se održavaju gostujuća predavanja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Nositelj kolegija</w:t>
            </w:r>
          </w:p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Odjek/katedra</w:t>
            </w:r>
          </w:p>
          <w:p w:rsidR="00B50EB3" w:rsidRPr="000B427F" w:rsidRDefault="00B50EB3" w:rsidP="00D34127">
            <w:pPr>
              <w:pStyle w:val="ListParagraph"/>
              <w:ind w:left="0" w:firstLine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III-A4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Izvođenje nastave i nastavne metode kontinuirano se vrednuju i prilagođavaju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Redovito se provodi nastavnička anketa u kojoj se procjenjuje izvođenje nastave i nastavne metode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UK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Semestralno 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III-A5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Prilagoditi načine poučavanja raznolikoj studentskoj populaciji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 prilagođavaju načine poučavanja raznolikoj studentskoj populaciji sukladno Pravilniku o studiranju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III-A6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Osigurati korištenje naprednih tehnologija s ciljem </w:t>
            </w:r>
            <w:r w:rsidRPr="000B427F">
              <w:rPr>
                <w:rFonts w:ascii="Times New Roman" w:hAnsi="Times New Roman" w:cs="Times New Roman"/>
              </w:rPr>
              <w:lastRenderedPageBreak/>
              <w:t>osuvremenjivanja nastave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lastRenderedPageBreak/>
              <w:t>Sveučilište provodi edukaciju o korištenju naprednih tehnologija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SRIC i Centar za edukacijsku, istraživačku digitalnu tehnologiju i digitalno </w:t>
            </w:r>
            <w:r w:rsidRPr="000B427F">
              <w:rPr>
                <w:rFonts w:ascii="Times New Roman" w:hAnsi="Times New Roman" w:cs="Times New Roman"/>
              </w:rPr>
              <w:lastRenderedPageBreak/>
              <w:t>obrazovanje (</w:t>
            </w:r>
            <w:proofErr w:type="spellStart"/>
            <w:r w:rsidRPr="000B427F">
              <w:rPr>
                <w:rFonts w:ascii="Times New Roman" w:hAnsi="Times New Roman" w:cs="Times New Roman"/>
              </w:rPr>
              <w:t>Ed-Sci</w:t>
            </w:r>
            <w:proofErr w:type="spellEnd"/>
            <w:r w:rsidRPr="000B4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lastRenderedPageBreak/>
              <w:t>Čelnici sastavnice, 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 prema donesenom planu edukacija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redovito obnavlja računalnu i ostalu opremu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SRIC i Centar za edukacijsku , istraživačku digitalnu tehnologiju i digitalno obrazovanje (</w:t>
            </w:r>
            <w:proofErr w:type="spellStart"/>
            <w:r w:rsidRPr="000B427F">
              <w:rPr>
                <w:rFonts w:ascii="Times New Roman" w:hAnsi="Times New Roman" w:cs="Times New Roman"/>
              </w:rPr>
              <w:t>Ed-Sci</w:t>
            </w:r>
            <w:proofErr w:type="spellEnd"/>
            <w:r w:rsidRPr="000B4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sastavnice, 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Prema potrebi</w:t>
            </w:r>
          </w:p>
        </w:tc>
      </w:tr>
      <w:tr w:rsidR="00B50EB3" w:rsidRPr="000B427F" w:rsidTr="00D34127">
        <w:trPr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tcBorders>
              <w:bottom w:val="single" w:sz="4" w:space="0" w:color="BEA505"/>
            </w:tcBorders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tcBorders>
              <w:bottom w:val="single" w:sz="4" w:space="0" w:color="BEA505"/>
            </w:tcBorders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bottom w:val="single" w:sz="4" w:space="0" w:color="BEA505"/>
            </w:tcBorders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Borders>
              <w:bottom w:val="single" w:sz="4" w:space="0" w:color="BEA505"/>
            </w:tcBorders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je opremilo „Green room“ – sobu za izradu / provođenje online predavanja</w:t>
            </w:r>
          </w:p>
        </w:tc>
        <w:tc>
          <w:tcPr>
            <w:tcW w:w="2083" w:type="dxa"/>
            <w:tcBorders>
              <w:bottom w:val="single" w:sz="4" w:space="0" w:color="BEA505"/>
            </w:tcBorders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SRIC i Centar za edukacijsku , istraživačku digitalnu tehnologiju i digitalno obrazovanje (</w:t>
            </w:r>
            <w:proofErr w:type="spellStart"/>
            <w:r w:rsidRPr="000B427F">
              <w:rPr>
                <w:rFonts w:ascii="Times New Roman" w:hAnsi="Times New Roman" w:cs="Times New Roman"/>
              </w:rPr>
              <w:t>Ed-Sci</w:t>
            </w:r>
            <w:proofErr w:type="spellEnd"/>
            <w:r w:rsidRPr="000B4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9" w:type="dxa"/>
            <w:tcBorders>
              <w:bottom w:val="single" w:sz="4" w:space="0" w:color="BEA505"/>
            </w:tcBorders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sastavnice, Rektor</w:t>
            </w:r>
          </w:p>
        </w:tc>
        <w:tc>
          <w:tcPr>
            <w:tcW w:w="1959" w:type="dxa"/>
            <w:tcBorders>
              <w:bottom w:val="single" w:sz="4" w:space="0" w:color="BEA505"/>
            </w:tcBorders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Prema potrebi se obnavlja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III-A6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Osigurati dostupnost i predanost nastavnika koji pridonose motiviranju studenata i njihova angažmana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Javno su objavljeni termini konzultacija i kontakti svakog nastavnika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Nastavnik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Usvojen je Pravilnik o nagrađivanju nastavnog osoblja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III-A7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Poticati samostalnost i odgovornost studenata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pruža financijsku potporu za razne vrste studentske aktivnosti (odlazak studenata na konferencije, skupove, simpozije)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Studenti kao koautori objavljuju znanstvene i stručne radove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Nastavnici, studenti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je usvojio Pravilnik o demonstratorima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  <w:r w:rsidRPr="000B427F">
              <w:rPr>
                <w:rFonts w:ascii="Times New Roman" w:hAnsi="Times New Roman" w:cs="Times New Roman"/>
              </w:rPr>
              <w:t>, Odbor za nastavu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prema potrebi se revidira</w:t>
            </w:r>
          </w:p>
        </w:tc>
      </w:tr>
      <w:tr w:rsidR="00B50EB3" w:rsidRPr="000B427F" w:rsidTr="00D34127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Osigurati odgovarajuću podršku studentima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III-A8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Razvijati i primjenjivati sustav podrške studentima i njihovo praćenje tijekom studija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Razvijen sustav mentora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Mentori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</w:t>
            </w:r>
            <w:r>
              <w:rPr>
                <w:rFonts w:ascii="Times New Roman" w:hAnsi="Times New Roman" w:cs="Times New Roman"/>
              </w:rPr>
              <w:t xml:space="preserve"> sastavnica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Imenovan studentski pravobranitelj i studentski predstavnik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Studentski zbor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III-A9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Uspostaviti funkcionalne postupke za profesionalno usmjeravanje studenata, psihološko savjetovanje, podršku studentima s invaliditetom, za podršku odlazne i dolazne mobilnosti te </w:t>
            </w:r>
            <w:proofErr w:type="spellStart"/>
            <w:r w:rsidRPr="000B427F">
              <w:rPr>
                <w:rFonts w:ascii="Times New Roman" w:hAnsi="Times New Roman" w:cs="Times New Roman"/>
              </w:rPr>
              <w:t>knjižničke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službe i studentske službe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 Sveučilištu djeluje Ured za studente s invaliditetom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 Sveučilištu djeluje Ured za studentski zbor, sport i kulturu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 Sveučilištu djeluje Centar za razvoj karijera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 Sveučilištu djeluje Psihološko savjetovalište za studente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33B5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osigurava radni prostor i potrebnu opremu te financijski podupire rad studentskog zbora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redovito raspisuje natječaje za studentske programe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zapošljava dovoljan broj administrativnog osoblja za potporu potreba studenata s prilagođenim radnim vremenom potrebama studenata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III-A10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Ulagati sredstva u potporu studentima iz ranjivih i podzastupljenih skupina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Studenti s invaliditetom ili slabijeg socijalno – ekonomskog statusa putem usvojene Odluke Sveučilišta imaju pravo na umanjenje ili oslobađanje iznosa školarine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prema mogućnostima prilagođava prilaz i prostor studentima s invaliditetom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Prema financijskim mogućnostima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Omogućiti studentima stjecanje </w:t>
            </w:r>
            <w:proofErr w:type="spellStart"/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međuranodnog</w:t>
            </w:r>
            <w:proofErr w:type="spellEnd"/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 iskustva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III-A11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Obavještavati studente o mogućnostima pohađanja dijela studija u inozemstvu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 Sveučilištu djeluje Ured za međunarodnu suradnju i mobilnost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Sastavnice imenuju </w:t>
            </w:r>
            <w:proofErr w:type="spellStart"/>
            <w:r w:rsidRPr="000B427F">
              <w:rPr>
                <w:rFonts w:ascii="Times New Roman" w:hAnsi="Times New Roman" w:cs="Times New Roman"/>
              </w:rPr>
              <w:t>Erasmus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koordinatore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Fakultetsko vijeće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Sveučilište organizira </w:t>
            </w:r>
            <w:proofErr w:type="spellStart"/>
            <w:r w:rsidRPr="000B427F">
              <w:rPr>
                <w:rFonts w:ascii="Times New Roman" w:hAnsi="Times New Roman" w:cs="Times New Roman"/>
              </w:rPr>
              <w:t>Erasmus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info da</w:t>
            </w: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6AB">
              <w:rPr>
                <w:rFonts w:ascii="Times New Roman" w:hAnsi="Times New Roman" w:cs="Times New Roman"/>
              </w:rPr>
              <w:t xml:space="preserve">Ured za međunarodnu </w:t>
            </w:r>
            <w:r w:rsidRPr="003936AB">
              <w:rPr>
                <w:rFonts w:ascii="Times New Roman" w:hAnsi="Times New Roman" w:cs="Times New Roman"/>
              </w:rPr>
              <w:lastRenderedPageBreak/>
              <w:t>suradnju i mobilnost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lastRenderedPageBreak/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Jednom godišnje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III-A12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Osigurati priznavanje ECTS bodova stečenih na drugom visokom učilištu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osigurava priznavanje ECTS bodova stečenih na drugom visokom učilištu putem izrade sporazuma o učenju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6AB">
              <w:rPr>
                <w:rFonts w:ascii="Times New Roman" w:hAnsi="Times New Roman" w:cs="Times New Roman"/>
              </w:rPr>
              <w:t>Ured za međunarodnu suradnju i mobilnost</w:t>
            </w:r>
            <w:r w:rsidRPr="000B427F">
              <w:rPr>
                <w:rFonts w:ascii="Times New Roman" w:hAnsi="Times New Roman" w:cs="Times New Roman"/>
              </w:rPr>
              <w:t>, ECTS koordinator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međunarodnu suradnju i mobilnost, 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Osigurati povoljne uvjete za studiranje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III-A13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Omogućiti inozemnim studentima informacije o mogućnostima upisa i studiranja na stranom jeziku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Sveučilište nudi mogućnost studiranja na stranom jeziku inozemnim studentima u okviru programa mobilnosti </w:t>
            </w:r>
            <w:proofErr w:type="spellStart"/>
            <w:r w:rsidRPr="000B427F">
              <w:rPr>
                <w:rFonts w:ascii="Times New Roman" w:hAnsi="Times New Roman" w:cs="Times New Roman"/>
              </w:rPr>
              <w:t>Erasmus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+ i CEEPUS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Sastavnice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međunarodnu suradnju i mobilnost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Zaposlenici Sveučilišta putem programa usavršavanja imaju mogućnost učenja i usavršavanja stranog jezika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Uprava Sveučilišta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Inozemni studenti imaju mogućnost učenja i usavršavanja hrvatskog jezika putem organiziranog tečaja u okviru </w:t>
            </w:r>
            <w:proofErr w:type="spellStart"/>
            <w:r w:rsidRPr="000B427F">
              <w:rPr>
                <w:rFonts w:ascii="Times New Roman" w:hAnsi="Times New Roman" w:cs="Times New Roman"/>
              </w:rPr>
              <w:t>Erasmus</w:t>
            </w:r>
            <w:proofErr w:type="spellEnd"/>
            <w:r w:rsidRPr="000B427F">
              <w:rPr>
                <w:rFonts w:ascii="Times New Roman" w:hAnsi="Times New Roman" w:cs="Times New Roman"/>
              </w:rPr>
              <w:t>+ programa mobilnosti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6AB">
              <w:rPr>
                <w:rFonts w:ascii="Times New Roman" w:hAnsi="Times New Roman" w:cs="Times New Roman"/>
              </w:rPr>
              <w:t>Ured za međunarodnu suradnju i mobilnost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Čelnik sastavnice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Osigurati objektivno i dosljedno vrednovanje i ocjenjivanje </w:t>
            </w: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lastRenderedPageBreak/>
              <w:t>studentskih postignuća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III-A14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Osigurati objektivnost i pouzdanost ocjenjivanja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Dio izvedbenog plana svakog kolegija je postupak ocjenjivanja studenata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Sveučilište ima definirani postupak </w:t>
            </w:r>
            <w:r w:rsidRPr="000B427F">
              <w:rPr>
                <w:rFonts w:ascii="Times New Roman" w:hAnsi="Times New Roman" w:cs="Times New Roman"/>
              </w:rPr>
              <w:lastRenderedPageBreak/>
              <w:t>žalbe za rezultate ispita – Pravilnikom o studiranju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lastRenderedPageBreak/>
              <w:t>Čelnici sastavnica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Osigurati da postupci vrednovanja uzimaju u obzir posebne okolnosti studiranja za posebne grupe studenata a da se pritom osigurava postizanje predviđenih ishoda učenja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ima reguliranu podršku prilikom polaganja ispita za studente s invaliditetom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3447">
              <w:rPr>
                <w:rFonts w:ascii="Times New Roman" w:hAnsi="Times New Roman" w:cs="Times New Roman"/>
              </w:rPr>
              <w:t>Prorektor za studente, obrazovne programe i suradnju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Senat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tcBorders>
              <w:bottom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III-A15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Osigurati studentima povratne informacije o rezultatima vrednovanja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Rezultati ostvareni na ispitima objavljuju se na </w:t>
            </w:r>
            <w:proofErr w:type="spellStart"/>
            <w:r w:rsidRPr="000B427F">
              <w:rPr>
                <w:rFonts w:ascii="Times New Roman" w:hAnsi="Times New Roman" w:cs="Times New Roman"/>
              </w:rPr>
              <w:t>Moodlu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ili na mrežnim stranicama sastavnice </w:t>
            </w:r>
            <w:proofErr w:type="spellStart"/>
            <w:r w:rsidRPr="000B427F">
              <w:rPr>
                <w:rFonts w:ascii="Times New Roman" w:hAnsi="Times New Roman" w:cs="Times New Roman"/>
              </w:rPr>
              <w:t>poštivajući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zaštitu osobnih podataka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Nastavnici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Kontinuirano, po održanom ispitu</w:t>
            </w:r>
          </w:p>
        </w:tc>
      </w:tr>
      <w:tr w:rsidR="00B50EB3" w:rsidRPr="000B427F" w:rsidTr="00D3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 w:val="restart"/>
            <w:tcBorders>
              <w:top w:val="single" w:sz="4" w:space="0" w:color="FFFFFF" w:themeColor="background1"/>
            </w:tcBorders>
            <w:shd w:val="clear" w:color="auto" w:fill="BEA505"/>
            <w:vAlign w:val="center"/>
          </w:tcPr>
          <w:p w:rsidR="00B50EB3" w:rsidRPr="00433DBB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433DBB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Voditi brigu o zapošljivosti studenata nakon studija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III-A16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Analiza zapošljivosti završenih studenata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Sveučilište je izradilo bazu završenih studenata sa podacima o zapošljavanju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Centar za razvoj karijera</w:t>
            </w:r>
          </w:p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Ured za studente i obrazovne programe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Centar za razvoj karijera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  <w:tr w:rsidR="00B50EB3" w:rsidRPr="000B427F" w:rsidTr="00D3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vMerge/>
            <w:shd w:val="clear" w:color="auto" w:fill="BEA505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III-A17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Održati kontakte s bivšim studentima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 xml:space="preserve">Sastavnica održava kontakt s bivšim studentima putem </w:t>
            </w:r>
            <w:proofErr w:type="spellStart"/>
            <w:r w:rsidRPr="000B427F">
              <w:rPr>
                <w:rFonts w:ascii="Times New Roman" w:hAnsi="Times New Roman" w:cs="Times New Roman"/>
              </w:rPr>
              <w:t>alumni</w:t>
            </w:r>
            <w:proofErr w:type="spellEnd"/>
            <w:r w:rsidRPr="000B427F">
              <w:rPr>
                <w:rFonts w:ascii="Times New Roman" w:hAnsi="Times New Roman" w:cs="Times New Roman"/>
              </w:rPr>
              <w:t xml:space="preserve"> udruge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Čelnici sastavnica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Alumni</w:t>
            </w:r>
            <w:proofErr w:type="spellEnd"/>
            <w:r>
              <w:rPr>
                <w:rFonts w:ascii="Times New Roman" w:hAnsi="Times New Roman" w:cs="Times New Roman"/>
              </w:rPr>
              <w:t xml:space="preserve"> udruge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50EB3" w:rsidRPr="000B427F" w:rsidRDefault="00B50EB3" w:rsidP="00D3412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427F">
              <w:rPr>
                <w:rFonts w:ascii="Times New Roman" w:hAnsi="Times New Roman" w:cs="Times New Roman"/>
              </w:rPr>
              <w:t>kontinuirano</w:t>
            </w:r>
          </w:p>
        </w:tc>
      </w:tr>
    </w:tbl>
    <w:p w:rsidR="00B50EB3" w:rsidRDefault="00B50EB3"/>
    <w:sectPr w:rsidR="00B50EB3" w:rsidSect="00B50E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B3"/>
    <w:rsid w:val="00B50EB3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5E83"/>
  <w15:chartTrackingRefBased/>
  <w15:docId w15:val="{FE45D17E-E19B-4931-8403-242DCDA4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EB3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EB3"/>
    <w:pPr>
      <w:ind w:left="720"/>
      <w:contextualSpacing/>
    </w:pPr>
  </w:style>
  <w:style w:type="table" w:styleId="ListTable4-Accent2">
    <w:name w:val="List Table 4 Accent 2"/>
    <w:basedOn w:val="TableNormal"/>
    <w:uiPriority w:val="49"/>
    <w:rsid w:val="00B50EB3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1</cp:revision>
  <dcterms:created xsi:type="dcterms:W3CDTF">2023-02-21T15:29:00Z</dcterms:created>
  <dcterms:modified xsi:type="dcterms:W3CDTF">2023-02-21T15:32:00Z</dcterms:modified>
</cp:coreProperties>
</file>