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C46" w:rsidRPr="00A61E6C" w:rsidRDefault="00C51C46" w:rsidP="00EF05CF">
      <w:pPr>
        <w:jc w:val="both"/>
      </w:pPr>
    </w:p>
    <w:p w:rsidR="00C51C46" w:rsidRPr="00A61E6C" w:rsidRDefault="00C51C46" w:rsidP="00EF05CF">
      <w:pPr>
        <w:jc w:val="both"/>
      </w:pPr>
    </w:p>
    <w:p w:rsidR="00C51C46" w:rsidRPr="00A61E6C" w:rsidRDefault="00C51C46" w:rsidP="00C51C46">
      <w:pPr>
        <w:rPr>
          <w:b/>
        </w:rPr>
      </w:pPr>
      <w:r w:rsidRPr="00A61E6C">
        <w:rPr>
          <w:b/>
          <w:i/>
        </w:rPr>
        <w:t>Privitak 3.</w:t>
      </w:r>
      <w:r w:rsidRPr="00A61E6C">
        <w:rPr>
          <w:b/>
        </w:rPr>
        <w:t xml:space="preserve"> Obrazac obrazloženja financijskog plana Sveučilišta Jurja Dobrile u Puli</w:t>
      </w:r>
      <w:r w:rsidR="00367C03" w:rsidRPr="00A61E6C">
        <w:rPr>
          <w:b/>
        </w:rPr>
        <w:t xml:space="preserve"> za razdoblje 202</w:t>
      </w:r>
      <w:r w:rsidR="00953B20" w:rsidRPr="00A61E6C">
        <w:rPr>
          <w:b/>
        </w:rPr>
        <w:t>4</w:t>
      </w:r>
      <w:r w:rsidR="00367C03" w:rsidRPr="00A61E6C">
        <w:rPr>
          <w:b/>
        </w:rPr>
        <w:t>.-202</w:t>
      </w:r>
      <w:r w:rsidR="00953B20" w:rsidRPr="00A61E6C">
        <w:rPr>
          <w:b/>
        </w:rPr>
        <w:t>6</w:t>
      </w:r>
      <w:r w:rsidR="00367C03" w:rsidRPr="00A61E6C">
        <w:rPr>
          <w:b/>
        </w:rPr>
        <w:t>.g.</w:t>
      </w:r>
    </w:p>
    <w:p w:rsidR="00C51C46" w:rsidRPr="00A61E6C" w:rsidRDefault="00C51C46" w:rsidP="00C51C46"/>
    <w:p w:rsidR="00C51C46" w:rsidRPr="00A61E6C" w:rsidRDefault="00C51C46" w:rsidP="00C51C4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A61E6C">
        <w:rPr>
          <w:b/>
          <w:sz w:val="28"/>
        </w:rPr>
        <w:t>Sažetak djelokruga rada proračunskog korisnika</w:t>
      </w:r>
    </w:p>
    <w:p w:rsidR="00C51C46" w:rsidRPr="00A61E6C" w:rsidRDefault="00C51C46" w:rsidP="00C51C46">
      <w:pPr>
        <w:contextualSpacing/>
        <w:jc w:val="both"/>
        <w:rPr>
          <w:i/>
        </w:rPr>
      </w:pPr>
      <w:r w:rsidRPr="00A61E6C">
        <w:rPr>
          <w:i/>
        </w:rPr>
        <w:t>U uvodnom dijelu obrazloženja predstavlja se korisnik. Opisuju se najznačajniji poslovi i zadaci, obrazlaže opravdanost prijedloga financijskog plana s obzirom na ukupno predloženi iznos rashoda, odstupanja plana u odnosu na prethodne godine i naglašavaju specifičnosti (primjerice promjene u organizaciji - promjene u broju zaposlenih i slično).</w:t>
      </w:r>
    </w:p>
    <w:p w:rsidR="00C51C46" w:rsidRPr="00A61E6C" w:rsidRDefault="00C51C46" w:rsidP="00C51C46">
      <w:pPr>
        <w:contextualSpacing/>
        <w:jc w:val="both"/>
        <w:rPr>
          <w:i/>
        </w:rPr>
      </w:pPr>
    </w:p>
    <w:p w:rsidR="00C51C46" w:rsidRPr="00A61E6C" w:rsidRDefault="00662789" w:rsidP="00C51C46">
      <w:pPr>
        <w:spacing w:line="360" w:lineRule="auto"/>
        <w:ind w:firstLine="708"/>
        <w:jc w:val="both"/>
      </w:pPr>
      <w:r w:rsidRPr="00A61E6C">
        <w:t>Donošenjem Z</w:t>
      </w:r>
      <w:r w:rsidR="00C51C46" w:rsidRPr="00A61E6C">
        <w:t>akon</w:t>
      </w:r>
      <w:r w:rsidRPr="00A61E6C">
        <w:t>a</w:t>
      </w:r>
      <w:r w:rsidR="00C51C46" w:rsidRPr="00A61E6C">
        <w:t xml:space="preserve"> o osnivanju Sveučilišta </w:t>
      </w:r>
      <w:r w:rsidRPr="00A61E6C">
        <w:t>Jurja Dobrile u Puli</w:t>
      </w:r>
      <w:r w:rsidR="00C51C46" w:rsidRPr="00A61E6C">
        <w:t xml:space="preserve"> 29. rujna 2006.g., </w:t>
      </w:r>
      <w:r w:rsidRPr="00A61E6C">
        <w:t>pulsko sveučilište započinje s radom,  integrirajući dotadašnje sastavnice</w:t>
      </w:r>
      <w:r w:rsidR="00C51C46" w:rsidRPr="00A61E6C">
        <w:t xml:space="preserve"> Sveučilišta u Rijeci: Fakultet ekonomije i turizma «Dr. Mijo Mirković», Filozofsk</w:t>
      </w:r>
      <w:r w:rsidRPr="00A61E6C">
        <w:t>i</w:t>
      </w:r>
      <w:r w:rsidR="00C51C46" w:rsidRPr="00A61E6C">
        <w:t xml:space="preserve"> fakultet i Visok</w:t>
      </w:r>
      <w:r w:rsidRPr="00A61E6C">
        <w:t>u</w:t>
      </w:r>
      <w:r w:rsidR="00C51C46" w:rsidRPr="00A61E6C">
        <w:t xml:space="preserve"> učiteljsk</w:t>
      </w:r>
      <w:r w:rsidRPr="00A61E6C">
        <w:t>u</w:t>
      </w:r>
      <w:r w:rsidR="00C51C46" w:rsidRPr="00A61E6C">
        <w:t xml:space="preserve"> škol</w:t>
      </w:r>
      <w:r w:rsidRPr="00A61E6C">
        <w:t>u</w:t>
      </w:r>
      <w:r w:rsidR="00C51C46" w:rsidRPr="00A61E6C">
        <w:t xml:space="preserve"> u Puli te Sveučilišn</w:t>
      </w:r>
      <w:r w:rsidRPr="00A61E6C">
        <w:t>u</w:t>
      </w:r>
      <w:r w:rsidR="00C51C46" w:rsidRPr="00A61E6C">
        <w:t xml:space="preserve"> knjižnic</w:t>
      </w:r>
      <w:r w:rsidRPr="00A61E6C">
        <w:t>u</w:t>
      </w:r>
      <w:r w:rsidR="00C51C46" w:rsidRPr="00A61E6C">
        <w:t xml:space="preserve"> u Puli.  Danas u sastavu Sveučilišta Jurja Dobrile u Puli djeluju sljedeće sastavnice: Rektorat, Fakultet ekonomije i turizma “Dr. Mijo Mirković” sa svojim Centrom za empirijska društvena istraživanja i trendove te Centrom za europska istraživanja, Fakultet za odgojne i obrazovne znanosti, Filozofski fakultet sa svojim Centrom za istarska onomastička istraživanja, Centrom za interdisciplinarna arheološka istraživanja krajolika i Centrom “Institut Puškina”, Muzička akademija sa Centrom za glazbenu djelatnost, </w:t>
      </w:r>
      <w:r w:rsidRPr="00A61E6C">
        <w:t>Fakultet prirodnih znanosti</w:t>
      </w:r>
      <w:r w:rsidR="00C51C46" w:rsidRPr="00A61E6C">
        <w:t xml:space="preserve">, Fakultet informatike, </w:t>
      </w:r>
      <w:r w:rsidR="00367C03" w:rsidRPr="00A61E6C">
        <w:t>Tehnički fakultet</w:t>
      </w:r>
      <w:r w:rsidR="00C51C46" w:rsidRPr="00A61E6C">
        <w:t>, Medicinski fakultet (</w:t>
      </w:r>
      <w:r w:rsidRPr="00A61E6C">
        <w:t>sa dva studija u području biomedicine i zdravstva</w:t>
      </w:r>
      <w:r w:rsidR="00C51C46" w:rsidRPr="00A61E6C">
        <w:t xml:space="preserve">, studij medicine u akreditaciji),  Znanstveno-tehnološki institut «Visio», Sveučilišna knjižnica sa tri knjižnična ogranka pri fakultetima i odjelima, Studentski centar, Centar za razvoj karijera, Centar za kompetencije u obrazovanju, Centar za kulturološka i povijesna istraživanja socijalizma, Sveučilišni računalni informacijski centar. </w:t>
      </w:r>
    </w:p>
    <w:p w:rsidR="00C51C46" w:rsidRPr="00A61E6C" w:rsidRDefault="00C51C46" w:rsidP="00C51C4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1E6C">
        <w:rPr>
          <w:rFonts w:ascii="Times New Roman" w:hAnsi="Times New Roman"/>
          <w:sz w:val="24"/>
          <w:szCs w:val="24"/>
        </w:rPr>
        <w:t>Djelokrug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rada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Sveučilišta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Jurja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Dobrile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u Puli:</w:t>
      </w:r>
    </w:p>
    <w:p w:rsidR="00C51C46" w:rsidRPr="00A61E6C" w:rsidRDefault="00C51C46" w:rsidP="00C51C46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1E6C">
        <w:rPr>
          <w:rFonts w:ascii="Times New Roman" w:hAnsi="Times New Roman"/>
          <w:sz w:val="24"/>
          <w:szCs w:val="24"/>
        </w:rPr>
        <w:t> </w:t>
      </w:r>
      <w:proofErr w:type="spellStart"/>
      <w:r w:rsidRPr="00A61E6C">
        <w:rPr>
          <w:rFonts w:ascii="Times New Roman" w:hAnsi="Times New Roman"/>
          <w:sz w:val="24"/>
          <w:szCs w:val="24"/>
        </w:rPr>
        <w:t>ustrojavanje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61E6C">
        <w:rPr>
          <w:rFonts w:ascii="Times New Roman" w:hAnsi="Times New Roman"/>
          <w:sz w:val="24"/>
          <w:szCs w:val="24"/>
        </w:rPr>
        <w:t>izvo</w:t>
      </w:r>
      <w:r w:rsidRPr="00A61E6C">
        <w:rPr>
          <w:rFonts w:ascii="Times New Roman" w:eastAsia="TimesNewRoman" w:hAnsi="Times New Roman" w:hint="eastAsia"/>
          <w:sz w:val="24"/>
          <w:szCs w:val="24"/>
        </w:rPr>
        <w:t>đ</w:t>
      </w:r>
      <w:r w:rsidRPr="00A61E6C">
        <w:rPr>
          <w:rFonts w:ascii="Times New Roman" w:hAnsi="Times New Roman"/>
          <w:sz w:val="24"/>
          <w:szCs w:val="24"/>
        </w:rPr>
        <w:t>enje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preddiplomskih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1E6C">
        <w:rPr>
          <w:rFonts w:ascii="Times New Roman" w:hAnsi="Times New Roman"/>
          <w:sz w:val="24"/>
          <w:szCs w:val="24"/>
        </w:rPr>
        <w:t>diplomskih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1E6C">
        <w:rPr>
          <w:rFonts w:ascii="Times New Roman" w:hAnsi="Times New Roman"/>
          <w:sz w:val="24"/>
          <w:szCs w:val="24"/>
        </w:rPr>
        <w:t>integriranih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preddiplomskih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i </w:t>
      </w:r>
    </w:p>
    <w:p w:rsidR="00C51C46" w:rsidRPr="00A61E6C" w:rsidRDefault="00C51C46" w:rsidP="00C51C46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1E6C">
        <w:rPr>
          <w:rFonts w:ascii="Times New Roman" w:hAnsi="Times New Roman"/>
          <w:sz w:val="24"/>
          <w:szCs w:val="24"/>
        </w:rPr>
        <w:t>diplomskih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sveu</w:t>
      </w:r>
      <w:r w:rsidRPr="00A61E6C">
        <w:rPr>
          <w:rFonts w:ascii="Times New Roman" w:eastAsia="TimesNewRoman" w:hAnsi="Times New Roman" w:hint="eastAsia"/>
          <w:sz w:val="24"/>
          <w:szCs w:val="24"/>
        </w:rPr>
        <w:t>č</w:t>
      </w:r>
      <w:r w:rsidRPr="00A61E6C">
        <w:rPr>
          <w:rFonts w:ascii="Times New Roman" w:hAnsi="Times New Roman"/>
          <w:sz w:val="24"/>
          <w:szCs w:val="24"/>
        </w:rPr>
        <w:t>ilišnih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studija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61E6C">
        <w:rPr>
          <w:rFonts w:ascii="Times New Roman" w:hAnsi="Times New Roman"/>
          <w:sz w:val="24"/>
          <w:szCs w:val="24"/>
        </w:rPr>
        <w:t>poslijediplomskih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sveu</w:t>
      </w:r>
      <w:r w:rsidRPr="00A61E6C">
        <w:rPr>
          <w:rFonts w:ascii="Times New Roman" w:eastAsia="TimesNewRoman" w:hAnsi="Times New Roman" w:hint="eastAsia"/>
          <w:sz w:val="24"/>
          <w:szCs w:val="24"/>
        </w:rPr>
        <w:t>č</w:t>
      </w:r>
      <w:r w:rsidRPr="00A61E6C">
        <w:rPr>
          <w:rFonts w:ascii="Times New Roman" w:hAnsi="Times New Roman"/>
          <w:sz w:val="24"/>
          <w:szCs w:val="24"/>
        </w:rPr>
        <w:t>ilišnih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studija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61E6C">
        <w:rPr>
          <w:rFonts w:ascii="Times New Roman" w:hAnsi="Times New Roman"/>
          <w:sz w:val="24"/>
          <w:szCs w:val="24"/>
        </w:rPr>
        <w:t>a</w:t>
      </w:r>
      <w:proofErr w:type="gram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iznimno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, </w:t>
      </w:r>
    </w:p>
    <w:p w:rsidR="00C51C46" w:rsidRPr="00A61E6C" w:rsidRDefault="00C51C46" w:rsidP="00C51C46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1E6C">
        <w:rPr>
          <w:rFonts w:ascii="Times New Roman" w:hAnsi="Times New Roman"/>
          <w:sz w:val="24"/>
          <w:szCs w:val="24"/>
        </w:rPr>
        <w:t>ustrojavanje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61E6C">
        <w:rPr>
          <w:rFonts w:ascii="Times New Roman" w:hAnsi="Times New Roman"/>
          <w:sz w:val="24"/>
          <w:szCs w:val="24"/>
        </w:rPr>
        <w:t>izvo</w:t>
      </w:r>
      <w:r w:rsidRPr="00A61E6C">
        <w:rPr>
          <w:rFonts w:ascii="Times New Roman" w:eastAsia="TimesNewRoman" w:hAnsi="Times New Roman" w:hint="eastAsia"/>
          <w:sz w:val="24"/>
          <w:szCs w:val="24"/>
        </w:rPr>
        <w:t>đ</w:t>
      </w:r>
      <w:r w:rsidRPr="00A61E6C">
        <w:rPr>
          <w:rFonts w:ascii="Times New Roman" w:hAnsi="Times New Roman"/>
          <w:sz w:val="24"/>
          <w:szCs w:val="24"/>
        </w:rPr>
        <w:t>enje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stru</w:t>
      </w:r>
      <w:r w:rsidRPr="00A61E6C">
        <w:rPr>
          <w:rFonts w:ascii="Times New Roman" w:eastAsia="TimesNewRoman" w:hAnsi="Times New Roman" w:hint="eastAsia"/>
          <w:sz w:val="24"/>
          <w:szCs w:val="24"/>
        </w:rPr>
        <w:t>č</w:t>
      </w:r>
      <w:r w:rsidRPr="00A61E6C">
        <w:rPr>
          <w:rFonts w:ascii="Times New Roman" w:hAnsi="Times New Roman"/>
          <w:sz w:val="24"/>
          <w:szCs w:val="24"/>
        </w:rPr>
        <w:t>nih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studija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, </w:t>
      </w:r>
    </w:p>
    <w:p w:rsidR="00C51C46" w:rsidRPr="00A61E6C" w:rsidRDefault="00C51C46" w:rsidP="00C51C46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1E6C">
        <w:rPr>
          <w:rFonts w:ascii="Times New Roman" w:hAnsi="Times New Roman"/>
          <w:sz w:val="24"/>
          <w:szCs w:val="24"/>
        </w:rPr>
        <w:t> </w:t>
      </w:r>
      <w:proofErr w:type="spellStart"/>
      <w:r w:rsidRPr="00A61E6C">
        <w:rPr>
          <w:rFonts w:ascii="Times New Roman" w:hAnsi="Times New Roman"/>
          <w:sz w:val="24"/>
          <w:szCs w:val="24"/>
        </w:rPr>
        <w:t>ustrojavanje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61E6C">
        <w:rPr>
          <w:rFonts w:ascii="Times New Roman" w:hAnsi="Times New Roman"/>
          <w:sz w:val="24"/>
          <w:szCs w:val="24"/>
        </w:rPr>
        <w:t>izvo</w:t>
      </w:r>
      <w:r w:rsidRPr="00A61E6C">
        <w:rPr>
          <w:rFonts w:ascii="Times New Roman" w:eastAsia="TimesNewRoman" w:hAnsi="Times New Roman" w:hint="eastAsia"/>
          <w:sz w:val="24"/>
          <w:szCs w:val="24"/>
        </w:rPr>
        <w:t>đ</w:t>
      </w:r>
      <w:r w:rsidRPr="00A61E6C">
        <w:rPr>
          <w:rFonts w:ascii="Times New Roman" w:hAnsi="Times New Roman"/>
          <w:sz w:val="24"/>
          <w:szCs w:val="24"/>
        </w:rPr>
        <w:t>enje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programa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cjeloživotnog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obrazovanja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i </w:t>
      </w:r>
    </w:p>
    <w:p w:rsidR="00C51C46" w:rsidRPr="00A61E6C" w:rsidRDefault="00C51C46" w:rsidP="00C51C46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1E6C">
        <w:rPr>
          <w:rFonts w:ascii="Times New Roman" w:hAnsi="Times New Roman"/>
          <w:sz w:val="24"/>
          <w:szCs w:val="24"/>
        </w:rPr>
        <w:t> </w:t>
      </w:r>
      <w:proofErr w:type="spellStart"/>
      <w:r w:rsidRPr="00A61E6C">
        <w:rPr>
          <w:rFonts w:ascii="Times New Roman" w:hAnsi="Times New Roman"/>
          <w:sz w:val="24"/>
          <w:szCs w:val="24"/>
        </w:rPr>
        <w:t>obavljanje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znanstvene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1E6C">
        <w:rPr>
          <w:rFonts w:ascii="Times New Roman" w:hAnsi="Times New Roman"/>
          <w:sz w:val="24"/>
          <w:szCs w:val="24"/>
        </w:rPr>
        <w:t>stru</w:t>
      </w:r>
      <w:r w:rsidRPr="00A61E6C">
        <w:rPr>
          <w:rFonts w:ascii="Times New Roman" w:eastAsia="TimesNewRoman" w:hAnsi="Times New Roman" w:hint="eastAsia"/>
          <w:sz w:val="24"/>
          <w:szCs w:val="24"/>
        </w:rPr>
        <w:t>č</w:t>
      </w:r>
      <w:r w:rsidRPr="00A61E6C">
        <w:rPr>
          <w:rFonts w:ascii="Times New Roman" w:hAnsi="Times New Roman"/>
          <w:sz w:val="24"/>
          <w:szCs w:val="24"/>
        </w:rPr>
        <w:t>ne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61E6C">
        <w:rPr>
          <w:rFonts w:ascii="Times New Roman" w:hAnsi="Times New Roman"/>
          <w:sz w:val="24"/>
          <w:szCs w:val="24"/>
        </w:rPr>
        <w:t>umjetni</w:t>
      </w:r>
      <w:r w:rsidRPr="00A61E6C">
        <w:rPr>
          <w:rFonts w:ascii="Times New Roman" w:eastAsia="TimesNewRoman" w:hAnsi="Times New Roman" w:hint="eastAsia"/>
          <w:sz w:val="24"/>
          <w:szCs w:val="24"/>
        </w:rPr>
        <w:t>č</w:t>
      </w:r>
      <w:r w:rsidRPr="00A61E6C">
        <w:rPr>
          <w:rFonts w:ascii="Times New Roman" w:hAnsi="Times New Roman"/>
          <w:sz w:val="24"/>
          <w:szCs w:val="24"/>
        </w:rPr>
        <w:t>ke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djelatnosti</w:t>
      </w:r>
      <w:proofErr w:type="spellEnd"/>
    </w:p>
    <w:p w:rsidR="00C51C46" w:rsidRPr="00A61E6C" w:rsidRDefault="00C51C46" w:rsidP="00C51C4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1E6C">
        <w:rPr>
          <w:rFonts w:ascii="Times New Roman" w:hAnsi="Times New Roman"/>
          <w:sz w:val="24"/>
          <w:szCs w:val="24"/>
        </w:rPr>
        <w:t>Ostale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djelatnosti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Sveu</w:t>
      </w:r>
      <w:r w:rsidRPr="00A61E6C">
        <w:rPr>
          <w:rFonts w:ascii="Times New Roman" w:eastAsia="TimesNewRoman" w:hAnsi="Times New Roman" w:hint="eastAsia"/>
          <w:sz w:val="24"/>
          <w:szCs w:val="24"/>
        </w:rPr>
        <w:t>č</w:t>
      </w:r>
      <w:r w:rsidRPr="00A61E6C">
        <w:rPr>
          <w:rFonts w:ascii="Times New Roman" w:hAnsi="Times New Roman"/>
          <w:sz w:val="24"/>
          <w:szCs w:val="24"/>
        </w:rPr>
        <w:t>ilišta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: </w:t>
      </w:r>
    </w:p>
    <w:p w:rsidR="00C51C46" w:rsidRPr="00A61E6C" w:rsidRDefault="00C51C46" w:rsidP="00C51C46">
      <w:pPr>
        <w:pStyle w:val="NormalWeb"/>
        <w:numPr>
          <w:ilvl w:val="1"/>
          <w:numId w:val="7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1E6C">
        <w:rPr>
          <w:rFonts w:ascii="Times New Roman" w:hAnsi="Times New Roman"/>
          <w:sz w:val="24"/>
          <w:szCs w:val="24"/>
        </w:rPr>
        <w:t> </w:t>
      </w:r>
      <w:proofErr w:type="spellStart"/>
      <w:r w:rsidRPr="00A61E6C">
        <w:rPr>
          <w:rFonts w:ascii="Times New Roman" w:hAnsi="Times New Roman"/>
          <w:sz w:val="24"/>
          <w:szCs w:val="24"/>
        </w:rPr>
        <w:t>izdava</w:t>
      </w:r>
      <w:r w:rsidRPr="00A61E6C">
        <w:rPr>
          <w:rFonts w:ascii="Times New Roman" w:eastAsia="TimesNewRoman" w:hAnsi="Times New Roman" w:hint="eastAsia"/>
          <w:sz w:val="24"/>
          <w:szCs w:val="24"/>
        </w:rPr>
        <w:t>č</w:t>
      </w:r>
      <w:r w:rsidRPr="00A61E6C">
        <w:rPr>
          <w:rFonts w:ascii="Times New Roman" w:hAnsi="Times New Roman"/>
          <w:sz w:val="24"/>
          <w:szCs w:val="24"/>
        </w:rPr>
        <w:t>ka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1E6C">
        <w:rPr>
          <w:rFonts w:ascii="Times New Roman" w:hAnsi="Times New Roman"/>
          <w:sz w:val="24"/>
          <w:szCs w:val="24"/>
        </w:rPr>
        <w:t>knjižni</w:t>
      </w:r>
      <w:r w:rsidRPr="00A61E6C">
        <w:rPr>
          <w:rFonts w:ascii="Times New Roman" w:eastAsia="TimesNewRoman" w:hAnsi="Times New Roman" w:hint="eastAsia"/>
          <w:sz w:val="24"/>
          <w:szCs w:val="24"/>
        </w:rPr>
        <w:t>č</w:t>
      </w:r>
      <w:r w:rsidRPr="00A61E6C">
        <w:rPr>
          <w:rFonts w:ascii="Times New Roman" w:hAnsi="Times New Roman"/>
          <w:sz w:val="24"/>
          <w:szCs w:val="24"/>
        </w:rPr>
        <w:t>na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61E6C">
        <w:rPr>
          <w:rFonts w:ascii="Times New Roman" w:hAnsi="Times New Roman"/>
          <w:sz w:val="24"/>
          <w:szCs w:val="24"/>
        </w:rPr>
        <w:t>informati</w:t>
      </w:r>
      <w:r w:rsidRPr="00A61E6C">
        <w:rPr>
          <w:rFonts w:ascii="Times New Roman" w:eastAsia="TimesNewRoman" w:hAnsi="Times New Roman" w:hint="eastAsia"/>
          <w:sz w:val="24"/>
          <w:szCs w:val="24"/>
        </w:rPr>
        <w:t>č</w:t>
      </w:r>
      <w:r w:rsidRPr="00A61E6C">
        <w:rPr>
          <w:rFonts w:ascii="Times New Roman" w:hAnsi="Times New Roman"/>
          <w:sz w:val="24"/>
          <w:szCs w:val="24"/>
        </w:rPr>
        <w:t>ka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djelatnost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, </w:t>
      </w:r>
    </w:p>
    <w:p w:rsidR="00C51C46" w:rsidRPr="00A61E6C" w:rsidRDefault="00C51C46" w:rsidP="00C51C46">
      <w:pPr>
        <w:pStyle w:val="NormalWeb"/>
        <w:numPr>
          <w:ilvl w:val="1"/>
          <w:numId w:val="7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1E6C">
        <w:rPr>
          <w:rFonts w:ascii="Times New Roman" w:hAnsi="Times New Roman"/>
          <w:sz w:val="24"/>
          <w:szCs w:val="24"/>
        </w:rPr>
        <w:t> </w:t>
      </w:r>
      <w:proofErr w:type="spellStart"/>
      <w:r w:rsidRPr="00A61E6C">
        <w:rPr>
          <w:rFonts w:ascii="Times New Roman" w:hAnsi="Times New Roman"/>
          <w:sz w:val="24"/>
          <w:szCs w:val="24"/>
        </w:rPr>
        <w:t>izrada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stru</w:t>
      </w:r>
      <w:r w:rsidRPr="00A61E6C">
        <w:rPr>
          <w:rFonts w:ascii="Times New Roman" w:eastAsia="TimesNewRoman" w:hAnsi="Times New Roman" w:hint="eastAsia"/>
          <w:sz w:val="24"/>
          <w:szCs w:val="24"/>
        </w:rPr>
        <w:t>č</w:t>
      </w:r>
      <w:r w:rsidRPr="00A61E6C">
        <w:rPr>
          <w:rFonts w:ascii="Times New Roman" w:hAnsi="Times New Roman"/>
          <w:sz w:val="24"/>
          <w:szCs w:val="24"/>
        </w:rPr>
        <w:t>nih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mišljenja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1E6C">
        <w:rPr>
          <w:rFonts w:ascii="Times New Roman" w:hAnsi="Times New Roman"/>
          <w:sz w:val="24"/>
          <w:szCs w:val="24"/>
        </w:rPr>
        <w:t>vješta</w:t>
      </w:r>
      <w:r w:rsidRPr="00A61E6C">
        <w:rPr>
          <w:rFonts w:ascii="Times New Roman" w:eastAsia="TimesNewRoman" w:hAnsi="Times New Roman" w:hint="eastAsia"/>
          <w:sz w:val="24"/>
          <w:szCs w:val="24"/>
        </w:rPr>
        <w:t>č</w:t>
      </w:r>
      <w:r w:rsidRPr="00A61E6C">
        <w:rPr>
          <w:rFonts w:ascii="Times New Roman" w:hAnsi="Times New Roman"/>
          <w:sz w:val="24"/>
          <w:szCs w:val="24"/>
        </w:rPr>
        <w:t>enja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1E6C">
        <w:rPr>
          <w:rFonts w:ascii="Times New Roman" w:hAnsi="Times New Roman"/>
          <w:sz w:val="24"/>
          <w:szCs w:val="24"/>
        </w:rPr>
        <w:t>ekspertiza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61E6C">
        <w:rPr>
          <w:rFonts w:ascii="Times New Roman" w:hAnsi="Times New Roman"/>
          <w:sz w:val="24"/>
          <w:szCs w:val="24"/>
        </w:rPr>
        <w:t>elaborata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te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pružanje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</w:p>
    <w:p w:rsidR="00C51C46" w:rsidRPr="00A61E6C" w:rsidRDefault="00C51C46" w:rsidP="00C51C46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1E6C">
        <w:rPr>
          <w:rFonts w:ascii="Times New Roman" w:hAnsi="Times New Roman"/>
          <w:sz w:val="24"/>
          <w:szCs w:val="24"/>
        </w:rPr>
        <w:t>savjetodavnih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usluga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, </w:t>
      </w:r>
    </w:p>
    <w:p w:rsidR="00C51C46" w:rsidRPr="00A61E6C" w:rsidRDefault="00C51C46" w:rsidP="00C51C46">
      <w:pPr>
        <w:pStyle w:val="NormalWeb"/>
        <w:numPr>
          <w:ilvl w:val="1"/>
          <w:numId w:val="7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1E6C">
        <w:rPr>
          <w:rFonts w:ascii="Times New Roman" w:hAnsi="Times New Roman"/>
          <w:sz w:val="24"/>
          <w:szCs w:val="24"/>
        </w:rPr>
        <w:t> </w:t>
      </w:r>
      <w:proofErr w:type="spellStart"/>
      <w:r w:rsidRPr="00A61E6C">
        <w:rPr>
          <w:rFonts w:ascii="Times New Roman" w:hAnsi="Times New Roman"/>
          <w:sz w:val="24"/>
          <w:szCs w:val="24"/>
        </w:rPr>
        <w:t>organiziranje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61E6C">
        <w:rPr>
          <w:rFonts w:ascii="Times New Roman" w:hAnsi="Times New Roman"/>
          <w:sz w:val="24"/>
          <w:szCs w:val="24"/>
        </w:rPr>
        <w:t>održavanje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znanstvenih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skupova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1E6C">
        <w:rPr>
          <w:rFonts w:ascii="Times New Roman" w:hAnsi="Times New Roman"/>
          <w:sz w:val="24"/>
          <w:szCs w:val="24"/>
        </w:rPr>
        <w:t>savjetovanja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1E6C">
        <w:rPr>
          <w:rFonts w:ascii="Times New Roman" w:hAnsi="Times New Roman"/>
          <w:sz w:val="24"/>
          <w:szCs w:val="24"/>
        </w:rPr>
        <w:t>konferencija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, </w:t>
      </w:r>
    </w:p>
    <w:p w:rsidR="00C51C46" w:rsidRPr="00A61E6C" w:rsidRDefault="00C51C46" w:rsidP="00C51C46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1E6C">
        <w:rPr>
          <w:rFonts w:ascii="Times New Roman" w:hAnsi="Times New Roman"/>
          <w:sz w:val="24"/>
          <w:szCs w:val="24"/>
        </w:rPr>
        <w:t>seminara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1E6C">
        <w:rPr>
          <w:rFonts w:ascii="Times New Roman" w:hAnsi="Times New Roman"/>
          <w:sz w:val="24"/>
          <w:szCs w:val="24"/>
        </w:rPr>
        <w:t>koncerata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1E6C">
        <w:rPr>
          <w:rFonts w:ascii="Times New Roman" w:hAnsi="Times New Roman"/>
          <w:sz w:val="24"/>
          <w:szCs w:val="24"/>
        </w:rPr>
        <w:t>umjetni</w:t>
      </w:r>
      <w:r w:rsidRPr="00A61E6C">
        <w:rPr>
          <w:rFonts w:ascii="Times New Roman" w:eastAsia="TimesNewRoman" w:hAnsi="Times New Roman" w:hint="eastAsia"/>
          <w:sz w:val="24"/>
          <w:szCs w:val="24"/>
        </w:rPr>
        <w:t>č</w:t>
      </w:r>
      <w:r w:rsidRPr="00A61E6C">
        <w:rPr>
          <w:rFonts w:ascii="Times New Roman" w:hAnsi="Times New Roman"/>
          <w:sz w:val="24"/>
          <w:szCs w:val="24"/>
        </w:rPr>
        <w:t>kih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izložbi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61E6C">
        <w:rPr>
          <w:rFonts w:ascii="Times New Roman" w:hAnsi="Times New Roman"/>
          <w:sz w:val="24"/>
          <w:szCs w:val="24"/>
        </w:rPr>
        <w:t>drugo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i </w:t>
      </w:r>
    </w:p>
    <w:p w:rsidR="00C51C46" w:rsidRPr="00A61E6C" w:rsidRDefault="00C51C46" w:rsidP="00C51C46">
      <w:pPr>
        <w:pStyle w:val="NormalWeb"/>
        <w:numPr>
          <w:ilvl w:val="1"/>
          <w:numId w:val="7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1E6C">
        <w:rPr>
          <w:rFonts w:ascii="Times New Roman" w:hAnsi="Times New Roman"/>
          <w:sz w:val="24"/>
          <w:szCs w:val="24"/>
        </w:rPr>
        <w:lastRenderedPageBreak/>
        <w:t> </w:t>
      </w:r>
      <w:proofErr w:type="spellStart"/>
      <w:r w:rsidRPr="00A61E6C">
        <w:rPr>
          <w:rFonts w:ascii="Times New Roman" w:hAnsi="Times New Roman"/>
          <w:sz w:val="24"/>
          <w:szCs w:val="24"/>
        </w:rPr>
        <w:t>kulturno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61E6C">
        <w:rPr>
          <w:rFonts w:ascii="Times New Roman" w:hAnsi="Times New Roman"/>
          <w:sz w:val="24"/>
          <w:szCs w:val="24"/>
        </w:rPr>
        <w:t>prosvjetne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61E6C">
        <w:rPr>
          <w:rFonts w:ascii="Times New Roman" w:hAnsi="Times New Roman"/>
          <w:sz w:val="24"/>
          <w:szCs w:val="24"/>
        </w:rPr>
        <w:t>sportske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/>
          <w:sz w:val="24"/>
          <w:szCs w:val="24"/>
        </w:rPr>
        <w:t>aktivnosti</w:t>
      </w:r>
      <w:proofErr w:type="spellEnd"/>
      <w:r w:rsidRPr="00A61E6C">
        <w:rPr>
          <w:rFonts w:ascii="Times New Roman" w:hAnsi="Times New Roman"/>
          <w:sz w:val="24"/>
          <w:szCs w:val="24"/>
        </w:rPr>
        <w:t xml:space="preserve">. </w:t>
      </w:r>
    </w:p>
    <w:p w:rsidR="00C51C46" w:rsidRPr="00A61E6C" w:rsidRDefault="00C51C46" w:rsidP="00C51C46"/>
    <w:p w:rsidR="00BB3E70" w:rsidRPr="00A61E6C" w:rsidRDefault="004E6B4C" w:rsidP="00C51C46">
      <w:pPr>
        <w:autoSpaceDE w:val="0"/>
        <w:spacing w:line="360" w:lineRule="auto"/>
        <w:ind w:firstLine="720"/>
        <w:jc w:val="both"/>
      </w:pPr>
      <w:r w:rsidRPr="00A61E6C">
        <w:t>Širenjem ponude studijskih programa u smjeru osiguranja vertikale studiranja, izvod</w:t>
      </w:r>
      <w:r w:rsidR="007151C7" w:rsidRPr="00A61E6C">
        <w:t xml:space="preserve">e </w:t>
      </w:r>
      <w:r w:rsidRPr="00A61E6C">
        <w:t xml:space="preserve"> se četiri nova akreditirana sveučilišna diplomska studija u deficitarnim i STEM područjima i to Sestrinstva, Računarstva, Ranog i predškolskog odgoja i obrazovanja na hrvatskom i talijanskom jeziku. </w:t>
      </w:r>
      <w:r w:rsidR="009B684C" w:rsidRPr="00A61E6C">
        <w:t>Od akademske godine 2022/2023 izvodi  se pred</w:t>
      </w:r>
      <w:r w:rsidR="000F04F2" w:rsidRPr="00A61E6C">
        <w:t>d</w:t>
      </w:r>
      <w:r w:rsidR="009B684C" w:rsidRPr="00A61E6C">
        <w:t>iplomski sveučilišni studij Dizajn i audiovizualne komunikacije</w:t>
      </w:r>
      <w:r w:rsidR="00472F94" w:rsidRPr="00A61E6C">
        <w:t>.</w:t>
      </w:r>
      <w:r w:rsidR="000F04F2" w:rsidRPr="00A61E6C">
        <w:t>.</w:t>
      </w:r>
      <w:r w:rsidR="009B684C" w:rsidRPr="00A61E6C">
        <w:t xml:space="preserve"> </w:t>
      </w:r>
      <w:r w:rsidR="00917A3A" w:rsidRPr="00A61E6C">
        <w:t>Sukladno strateškim ciljevima Sveučilišta u predstojećem petogodišnjem razdoblju, sastavnice promišljeno po područjima znanosti i umjetnosti, vodeći računa o potrebama tržišta rada i preporukama  upisne politike HZZ-a</w:t>
      </w:r>
      <w:r w:rsidR="001A34B3" w:rsidRPr="00A61E6C">
        <w:t>,</w:t>
      </w:r>
      <w:r w:rsidR="00917A3A" w:rsidRPr="00A61E6C">
        <w:t xml:space="preserve"> ostvaruju iskorake prema STEM području, istovremeno njegujući tradiciju društveno-humanističkog područja, razvijaju, revidiraju, u</w:t>
      </w:r>
      <w:r w:rsidR="00C51C46" w:rsidRPr="00A61E6C">
        <w:t>strojavaju i izvode sveučilišne i stručne preddiplomske, integrirane preddiplomske i diplomske studije, diplomske studije u društvenom, humanističkom i umjetničkom području,  u području prirodnih znanosti, tehničkih znanosti, biomedicine i zdravstva. Također se izvode specijalistički i doktorski poslijediplomski studiji</w:t>
      </w:r>
      <w:r w:rsidR="001A34B3" w:rsidRPr="00A61E6C">
        <w:t xml:space="preserve">, </w:t>
      </w:r>
      <w:r w:rsidR="0013321B" w:rsidRPr="00A61E6C">
        <w:t xml:space="preserve">uključujući </w:t>
      </w:r>
      <w:r w:rsidR="004253F4" w:rsidRPr="00A61E6C">
        <w:t xml:space="preserve">međunarodni </w:t>
      </w:r>
      <w:r w:rsidR="0013321B" w:rsidRPr="00A61E6C">
        <w:t xml:space="preserve">združeni </w:t>
      </w:r>
      <w:r w:rsidR="004253F4" w:rsidRPr="00A61E6C">
        <w:t xml:space="preserve">doktorski </w:t>
      </w:r>
      <w:r w:rsidR="0013321B" w:rsidRPr="00A61E6C">
        <w:t xml:space="preserve">studij </w:t>
      </w:r>
      <w:r w:rsidR="004253F4" w:rsidRPr="00A61E6C">
        <w:t>«Međunarodni ekonomski odnosi i menadžment»</w:t>
      </w:r>
      <w:r w:rsidR="0013321B" w:rsidRPr="00A61E6C">
        <w:t xml:space="preserve">, </w:t>
      </w:r>
      <w:r w:rsidR="00C51C46" w:rsidRPr="00A61E6C">
        <w:t>zaokružujući</w:t>
      </w:r>
      <w:r w:rsidR="00472F94" w:rsidRPr="00A61E6C">
        <w:t xml:space="preserve"> time</w:t>
      </w:r>
      <w:r w:rsidR="00C51C46" w:rsidRPr="00A61E6C">
        <w:t xml:space="preserve"> cjelokupnu vertikalu u sustavu visokog obrazovanja</w:t>
      </w:r>
      <w:r w:rsidR="001A34B3" w:rsidRPr="00A61E6C">
        <w:t xml:space="preserve"> u području</w:t>
      </w:r>
      <w:r w:rsidR="004253F4" w:rsidRPr="00A61E6C">
        <w:t xml:space="preserve"> društvenih znanosti</w:t>
      </w:r>
      <w:r w:rsidR="00C51C46" w:rsidRPr="00A61E6C">
        <w:t xml:space="preserve">. </w:t>
      </w:r>
      <w:r w:rsidR="00BB3E70" w:rsidRPr="00A61E6C">
        <w:t xml:space="preserve">Na pet studija nastava se izvodi na talijanskom jeziku. </w:t>
      </w:r>
    </w:p>
    <w:p w:rsidR="00C51C46" w:rsidRPr="00A61E6C" w:rsidRDefault="00C51C46" w:rsidP="00C51C46">
      <w:pPr>
        <w:autoSpaceDE w:val="0"/>
        <w:spacing w:line="360" w:lineRule="auto"/>
        <w:ind w:firstLine="720"/>
        <w:jc w:val="both"/>
      </w:pPr>
      <w:r w:rsidRPr="00A61E6C">
        <w:t>Sveučilište provodi i sveučilišne programe cjeloživotnoga obrazovanja koji se mogu integrirati kroz bodovni sustav u sve razine sveučilišnih studija</w:t>
      </w:r>
      <w:r w:rsidR="007A15BA" w:rsidRPr="00A61E6C">
        <w:t>, a otvoreni su i polaznicima iz šire javnosti. P</w:t>
      </w:r>
      <w:r w:rsidR="001A34B3" w:rsidRPr="00A61E6C">
        <w:t xml:space="preserve">onuda programa cjeloživotnog obrazovanja širi </w:t>
      </w:r>
      <w:r w:rsidR="007A15BA" w:rsidRPr="00A61E6C">
        <w:t xml:space="preserve">se </w:t>
      </w:r>
      <w:r w:rsidR="001A34B3" w:rsidRPr="00A61E6C">
        <w:t xml:space="preserve">iz područja turizma i stjecanja pedagoških kompetencija, palijativne skrbi, </w:t>
      </w:r>
      <w:r w:rsidR="007A15BA" w:rsidRPr="00A61E6C">
        <w:t xml:space="preserve"> ljetnih škola jezika </w:t>
      </w:r>
      <w:r w:rsidR="001A34B3" w:rsidRPr="00A61E6C">
        <w:t xml:space="preserve">širi na područje pripreme i provedbe EU projekata, gastronomije, nutricionizma, razne razlikovne programe za upis na višu razinu studija i dr. </w:t>
      </w:r>
      <w:r w:rsidRPr="00A61E6C">
        <w:t xml:space="preserve"> Sveučilište uz nastavnu, </w:t>
      </w:r>
      <w:r w:rsidR="009E3C69" w:rsidRPr="00A61E6C">
        <w:t xml:space="preserve">uz potporu informatičke, knjižnične i izdavačke djelatnosti, </w:t>
      </w:r>
      <w:r w:rsidRPr="00A61E6C">
        <w:t>provodi znanstveno-istraživačku, umjetničku i stručnu djelatnost u suradnji s</w:t>
      </w:r>
      <w:r w:rsidR="0013321B" w:rsidRPr="00A61E6C">
        <w:t xml:space="preserve"> partnerima u sustavu znanosti i visokog obrazovanja u zemlji i inozemstvu, </w:t>
      </w:r>
      <w:r w:rsidRPr="00A61E6C">
        <w:t xml:space="preserve"> JLP(R)S i gospodarst</w:t>
      </w:r>
      <w:r w:rsidR="00367C03" w:rsidRPr="00A61E6C">
        <w:t>venicima</w:t>
      </w:r>
      <w:r w:rsidR="00E41AAF" w:rsidRPr="00A61E6C">
        <w:t xml:space="preserve">, osobito kroz sve veći broj projekata financiranih iz EU fondova </w:t>
      </w:r>
      <w:r w:rsidRPr="00A61E6C">
        <w:t>te razvija niz programa međunarodne suradnje i mobilnosti</w:t>
      </w:r>
      <w:r w:rsidR="009E3C69" w:rsidRPr="00A61E6C">
        <w:t>.</w:t>
      </w:r>
    </w:p>
    <w:p w:rsidR="00C51C46" w:rsidRPr="00A61E6C" w:rsidRDefault="007A15BA" w:rsidP="00C51C46">
      <w:pPr>
        <w:spacing w:line="360" w:lineRule="auto"/>
        <w:ind w:firstLine="720"/>
        <w:jc w:val="both"/>
      </w:pPr>
      <w:r w:rsidRPr="00A61E6C">
        <w:t xml:space="preserve">Funkcionalno i institucionalno integrirano </w:t>
      </w:r>
      <w:r w:rsidR="00C51C46" w:rsidRPr="00A61E6C">
        <w:t xml:space="preserve">Sveučilišta u Puli </w:t>
      </w:r>
      <w:r w:rsidRPr="00A61E6C">
        <w:t>ima samo jednu sastavnicu s pravnom osobnošću -</w:t>
      </w:r>
      <w:r w:rsidR="00C51C46" w:rsidRPr="00A61E6C">
        <w:t xml:space="preserve"> Studentski centar koji djeluje na ostvarivanju cjelovitosti i potrebnog stupnja studentskoga standarda u sustavu visoke naobrazbe</w:t>
      </w:r>
      <w:r w:rsidRPr="00A61E6C">
        <w:t>, s osobitim naglaskom na potrebe studenata s invaliditetom i u nepovoljnom položaju</w:t>
      </w:r>
      <w:r w:rsidR="00C51C46" w:rsidRPr="00A61E6C">
        <w:t xml:space="preserve">. Osnovan je 1. srpnja 2007. godine kao samostalna ustanova </w:t>
      </w:r>
      <w:r w:rsidR="007B406F" w:rsidRPr="00A61E6C">
        <w:t xml:space="preserve">te </w:t>
      </w:r>
      <w:r w:rsidR="00C51C46" w:rsidRPr="00A61E6C">
        <w:t xml:space="preserve">odlukom Senata od 1. siječnja 2008. godine, djeluje kao sastavnica u sklopu Sveučilišta Jurja Dobrile u Puli. Prema rješenju Trgovačkog suda u Pazinu, od </w:t>
      </w:r>
      <w:r w:rsidR="00C51C46" w:rsidRPr="00A61E6C">
        <w:lastRenderedPageBreak/>
        <w:t>30.12.2010.g., Studentski centar Pula</w:t>
      </w:r>
      <w:r w:rsidR="000B444C" w:rsidRPr="00A61E6C">
        <w:t xml:space="preserve"> kojem je osnivač pulsko Sveučilište,</w:t>
      </w:r>
      <w:r w:rsidR="00C51C46" w:rsidRPr="00A61E6C">
        <w:t xml:space="preserve"> posluje kao samostalna pravna osoba s istim nazivom. Studentski centar upravlja Studentskim domom </w:t>
      </w:r>
      <w:r w:rsidR="00472F94" w:rsidRPr="00A61E6C">
        <w:t xml:space="preserve"> s nekoliko paviljona,</w:t>
      </w:r>
      <w:r w:rsidR="00C51C46" w:rsidRPr="00A61E6C">
        <w:t xml:space="preserve"> restoranom s </w:t>
      </w:r>
      <w:proofErr w:type="spellStart"/>
      <w:r w:rsidR="00C51C46" w:rsidRPr="00A61E6C">
        <w:t>pizzeriom</w:t>
      </w:r>
      <w:proofErr w:type="spellEnd"/>
      <w:r w:rsidR="00472F94" w:rsidRPr="00A61E6C">
        <w:t xml:space="preserve">. </w:t>
      </w:r>
      <w:r w:rsidR="005660A4" w:rsidRPr="00A61E6C">
        <w:t xml:space="preserve">U </w:t>
      </w:r>
      <w:r w:rsidR="00C51C46" w:rsidRPr="00A61E6C">
        <w:t xml:space="preserve">sklopu Studentskog centra </w:t>
      </w:r>
      <w:r w:rsidR="005660A4" w:rsidRPr="00A61E6C">
        <w:t xml:space="preserve">djeluje studentski servis koji </w:t>
      </w:r>
      <w:r w:rsidR="00C51C46" w:rsidRPr="00A61E6C">
        <w:t xml:space="preserve">omogućuje studentima i učenicima završnih razreda srednjih škola privremeno i povremeno zapošljavanje te im tako stečenim prihodima osigurava dodatno poboljšanje  osobnog standarda.  Studentski centar </w:t>
      </w:r>
      <w:r w:rsidR="005660A4" w:rsidRPr="00A61E6C">
        <w:t>promiče</w:t>
      </w:r>
      <w:r w:rsidR="00C51C46" w:rsidRPr="00A61E6C">
        <w:t xml:space="preserve"> razvoj </w:t>
      </w:r>
      <w:r w:rsidR="005660A4" w:rsidRPr="00A61E6C">
        <w:t xml:space="preserve">niza </w:t>
      </w:r>
      <w:r w:rsidR="00C51C46" w:rsidRPr="00A61E6C">
        <w:t>ostalih studentskih aktivnosti - kulturoloških, istraživačkih, sportskih i zabavnih te podupire djelovanje Studentskog zbora u Puli.</w:t>
      </w:r>
    </w:p>
    <w:p w:rsidR="00C51C46" w:rsidRPr="00A61E6C" w:rsidRDefault="003A77CD" w:rsidP="0069531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proofErr w:type="spellStart"/>
      <w:r w:rsidRPr="00A61E6C">
        <w:rPr>
          <w:rFonts w:ascii="Times New Roman" w:hAnsi="Times New Roman"/>
          <w:sz w:val="24"/>
        </w:rPr>
        <w:t>Prema</w:t>
      </w:r>
      <w:proofErr w:type="spellEnd"/>
      <w:r w:rsidRPr="00A61E6C">
        <w:rPr>
          <w:rFonts w:ascii="Times New Roman" w:hAnsi="Times New Roman"/>
          <w:sz w:val="24"/>
        </w:rPr>
        <w:t xml:space="preserve"> </w:t>
      </w:r>
      <w:proofErr w:type="spellStart"/>
      <w:r w:rsidR="00C51C46" w:rsidRPr="00A61E6C">
        <w:rPr>
          <w:rFonts w:ascii="Times New Roman" w:hAnsi="Times New Roman"/>
          <w:sz w:val="24"/>
        </w:rPr>
        <w:t>Strategij</w:t>
      </w:r>
      <w:r w:rsidRPr="00A61E6C">
        <w:rPr>
          <w:rFonts w:ascii="Times New Roman" w:hAnsi="Times New Roman"/>
          <w:sz w:val="24"/>
        </w:rPr>
        <w:t>i</w:t>
      </w:r>
      <w:proofErr w:type="spellEnd"/>
      <w:r w:rsidR="00C51C46" w:rsidRPr="00A61E6C">
        <w:rPr>
          <w:rFonts w:ascii="Times New Roman" w:hAnsi="Times New Roman"/>
          <w:sz w:val="24"/>
        </w:rPr>
        <w:t xml:space="preserve"> </w:t>
      </w:r>
      <w:proofErr w:type="spellStart"/>
      <w:r w:rsidR="00C51C46" w:rsidRPr="00A61E6C">
        <w:rPr>
          <w:rFonts w:ascii="Times New Roman" w:hAnsi="Times New Roman"/>
          <w:sz w:val="24"/>
        </w:rPr>
        <w:t>razvoja</w:t>
      </w:r>
      <w:proofErr w:type="spellEnd"/>
      <w:r w:rsidR="00C51C46" w:rsidRPr="00A61E6C">
        <w:rPr>
          <w:rFonts w:ascii="Times New Roman" w:hAnsi="Times New Roman"/>
          <w:sz w:val="24"/>
        </w:rPr>
        <w:t xml:space="preserve"> </w:t>
      </w:r>
      <w:proofErr w:type="spellStart"/>
      <w:r w:rsidR="00C51C46" w:rsidRPr="00A61E6C">
        <w:rPr>
          <w:rFonts w:ascii="Times New Roman" w:hAnsi="Times New Roman"/>
          <w:sz w:val="24"/>
        </w:rPr>
        <w:t>Sveučilišta</w:t>
      </w:r>
      <w:proofErr w:type="spellEnd"/>
      <w:r w:rsidR="00C51C46" w:rsidRPr="00A61E6C">
        <w:rPr>
          <w:rFonts w:ascii="Times New Roman" w:hAnsi="Times New Roman"/>
          <w:sz w:val="24"/>
        </w:rPr>
        <w:t xml:space="preserve"> </w:t>
      </w:r>
      <w:proofErr w:type="spellStart"/>
      <w:r w:rsidR="00C51C46" w:rsidRPr="00A61E6C">
        <w:rPr>
          <w:rFonts w:ascii="Times New Roman" w:hAnsi="Times New Roman"/>
          <w:sz w:val="24"/>
        </w:rPr>
        <w:t>Jurja</w:t>
      </w:r>
      <w:proofErr w:type="spellEnd"/>
      <w:r w:rsidR="00C51C46" w:rsidRPr="00A61E6C">
        <w:rPr>
          <w:rFonts w:ascii="Times New Roman" w:hAnsi="Times New Roman"/>
          <w:sz w:val="24"/>
        </w:rPr>
        <w:t xml:space="preserve"> </w:t>
      </w:r>
      <w:proofErr w:type="spellStart"/>
      <w:r w:rsidR="00C51C46" w:rsidRPr="00A61E6C">
        <w:rPr>
          <w:rFonts w:ascii="Times New Roman" w:hAnsi="Times New Roman"/>
          <w:sz w:val="24"/>
        </w:rPr>
        <w:t>Dobrile</w:t>
      </w:r>
      <w:proofErr w:type="spellEnd"/>
      <w:r w:rsidR="00C51C46" w:rsidRPr="00A61E6C">
        <w:rPr>
          <w:rFonts w:ascii="Times New Roman" w:hAnsi="Times New Roman"/>
          <w:sz w:val="24"/>
        </w:rPr>
        <w:t xml:space="preserve"> u Puli 20</w:t>
      </w:r>
      <w:r w:rsidR="00E0459C" w:rsidRPr="00A61E6C">
        <w:rPr>
          <w:rFonts w:ascii="Times New Roman" w:hAnsi="Times New Roman"/>
          <w:sz w:val="24"/>
        </w:rPr>
        <w:t>21</w:t>
      </w:r>
      <w:r w:rsidR="00C51C46" w:rsidRPr="00A61E6C">
        <w:rPr>
          <w:rFonts w:ascii="Times New Roman" w:hAnsi="Times New Roman"/>
          <w:sz w:val="24"/>
        </w:rPr>
        <w:t>.-202</w:t>
      </w:r>
      <w:r w:rsidR="008F14F0" w:rsidRPr="00A61E6C">
        <w:rPr>
          <w:rFonts w:ascii="Times New Roman" w:hAnsi="Times New Roman"/>
          <w:sz w:val="24"/>
        </w:rPr>
        <w:t>6</w:t>
      </w:r>
      <w:r w:rsidR="00C51C46" w:rsidRPr="00A61E6C">
        <w:rPr>
          <w:rFonts w:ascii="Times New Roman" w:hAnsi="Times New Roman"/>
          <w:sz w:val="24"/>
        </w:rPr>
        <w:t>.</w:t>
      </w:r>
      <w:r w:rsidRPr="00A61E6C">
        <w:rPr>
          <w:rFonts w:ascii="Times New Roman" w:hAnsi="Times New Roman"/>
          <w:sz w:val="24"/>
        </w:rPr>
        <w:t xml:space="preserve">, </w:t>
      </w:r>
      <w:proofErr w:type="spellStart"/>
      <w:r w:rsidRPr="00A61E6C">
        <w:rPr>
          <w:rFonts w:ascii="Times New Roman" w:hAnsi="Times New Roman"/>
          <w:sz w:val="24"/>
        </w:rPr>
        <w:t>m</w:t>
      </w:r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isao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vodilja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u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narednom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razdoblju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jest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evolucija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A61E6C">
        <w:rPr>
          <w:rFonts w:ascii="Times New Roman" w:eastAsia="Times New Roman" w:hAnsi="Times New Roman"/>
          <w:sz w:val="24"/>
          <w:szCs w:val="24"/>
          <w:lang w:val="hr-HR" w:eastAsia="en-GB"/>
        </w:rPr>
        <w:t>Sveučilišta</w:t>
      </w:r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A61E6C">
        <w:rPr>
          <w:rFonts w:ascii="Times New Roman" w:eastAsia="Times New Roman" w:hAnsi="Times New Roman"/>
          <w:sz w:val="24"/>
          <w:szCs w:val="24"/>
          <w:lang w:val="hr-HR" w:eastAsia="en-GB"/>
        </w:rPr>
        <w:t>„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kroz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institucionalizaciju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i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digitalizaciju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prema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istraživačkom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kreativnom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i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poduzetničkom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Sveučilištu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prema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eObrazovanju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digitalnoj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adaptabilnoj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inkluzivnoj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instituciji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i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centrima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znanstvene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izvrsnosti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Rijec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̌ je o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holističkom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pristupu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koji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implicira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ujednačen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razvoj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svih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sastavnica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i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područja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znanosti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- STEAM-a.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Ideja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je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integracija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i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koordinacija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čiji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je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krajnji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cilj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manje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administracije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, a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više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kreativnih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procesa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i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stvaranja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dodane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vrijednosti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Poduzetničko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sveučilište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mora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biti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uključeno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u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sve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sfere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života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zajednice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i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društva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(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kulturološke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znanstvene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umjetničke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i dr.),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stoga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je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osnova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za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ostvarenje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svih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ciljeva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dinamična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sinergija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zaposlenika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i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sastavnica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. Nova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strategija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osmišljena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je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upravo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tako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da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sva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područja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znanosti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i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upravljanja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budu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uključena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u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vlastiti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razvoj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kroz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interdisciplinarnost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i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suradnju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kako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unutar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institucije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tako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i s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ostalim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inozemnim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sveučilištima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i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organizacijama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Sveučilišta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moraju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biti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znanstveni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centri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izvrsnosti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ali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i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poduzetnički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centri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izvrsnosti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na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svim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razinama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upravljanja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 i </w:t>
      </w:r>
      <w:proofErr w:type="spellStart"/>
      <w:proofErr w:type="gramStart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>djelovanja</w:t>
      </w:r>
      <w:proofErr w:type="spellEnd"/>
      <w:r w:rsidRPr="00A61E6C">
        <w:rPr>
          <w:rFonts w:ascii="Times New Roman" w:eastAsia="Times New Roman" w:hAnsi="Times New Roman"/>
          <w:sz w:val="24"/>
          <w:szCs w:val="24"/>
          <w:lang w:val="hr-HR" w:eastAsia="en-GB"/>
        </w:rPr>
        <w:t>“</w:t>
      </w:r>
      <w:proofErr w:type="gramEnd"/>
      <w:r w:rsidRPr="00A61E6C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</w:p>
    <w:p w:rsidR="00C51C46" w:rsidRPr="00A61E6C" w:rsidRDefault="00695316" w:rsidP="00C51C46">
      <w:pPr>
        <w:spacing w:line="360" w:lineRule="auto"/>
        <w:ind w:firstLine="720"/>
        <w:jc w:val="both"/>
      </w:pPr>
      <w:r w:rsidRPr="00A61E6C">
        <w:t xml:space="preserve">U planskom razdoblju </w:t>
      </w:r>
      <w:r w:rsidR="00C51C46" w:rsidRPr="00A61E6C">
        <w:t>202</w:t>
      </w:r>
      <w:r w:rsidR="00953B20" w:rsidRPr="00A61E6C">
        <w:t>4</w:t>
      </w:r>
      <w:r w:rsidR="00C51C46" w:rsidRPr="00A61E6C">
        <w:t>.-202</w:t>
      </w:r>
      <w:r w:rsidR="00953B20" w:rsidRPr="00A61E6C">
        <w:t>6</w:t>
      </w:r>
      <w:r w:rsidR="00C51C46" w:rsidRPr="00A61E6C">
        <w:t xml:space="preserve">. </w:t>
      </w:r>
      <w:r w:rsidRPr="00A61E6C">
        <w:t xml:space="preserve">nastavno na </w:t>
      </w:r>
      <w:r w:rsidR="00C51C46" w:rsidRPr="00A61E6C">
        <w:t>dovršetak dvaju novih smještajnih paviljona Studentskog doma</w:t>
      </w:r>
      <w:r w:rsidRPr="00A61E6C">
        <w:t xml:space="preserve">, održat će se kontinuitet </w:t>
      </w:r>
      <w:r w:rsidR="00C51C46" w:rsidRPr="00A61E6C">
        <w:t xml:space="preserve"> provedb</w:t>
      </w:r>
      <w:r w:rsidRPr="00A61E6C">
        <w:t>e kapitalnih projekata</w:t>
      </w:r>
      <w:r w:rsidR="00C51C46" w:rsidRPr="00A61E6C">
        <w:t xml:space="preserve"> </w:t>
      </w:r>
      <w:r w:rsidRPr="00A61E6C">
        <w:t xml:space="preserve">prenamjenom prostora </w:t>
      </w:r>
      <w:r w:rsidR="00C51C46" w:rsidRPr="00A61E6C">
        <w:t>u zgradi bivše interne OB  Pula u Zagrebačkoj 30</w:t>
      </w:r>
      <w:r w:rsidRPr="00A61E6C">
        <w:t xml:space="preserve"> i zgradi bivše transfuziologije u </w:t>
      </w:r>
      <w:proofErr w:type="spellStart"/>
      <w:r w:rsidRPr="00A61E6C">
        <w:t>Negrijevoj</w:t>
      </w:r>
      <w:proofErr w:type="spellEnd"/>
      <w:r w:rsidRPr="00A61E6C">
        <w:t xml:space="preserve"> 6 u laboratorijske svrhe za područje biomedicine i zdravstva, prirodnih i tehničkih znanosti,  </w:t>
      </w:r>
      <w:r w:rsidR="00953B20" w:rsidRPr="00A61E6C">
        <w:t>te</w:t>
      </w:r>
      <w:r w:rsidRPr="00A61E6C">
        <w:t xml:space="preserve"> prenamjenom bivših bolničkih prostora u </w:t>
      </w:r>
      <w:proofErr w:type="spellStart"/>
      <w:r w:rsidRPr="00A61E6C">
        <w:t>Negrijevoj</w:t>
      </w:r>
      <w:proofErr w:type="spellEnd"/>
      <w:r w:rsidRPr="00A61E6C">
        <w:t xml:space="preserve"> 6 za potrebe </w:t>
      </w:r>
      <w:r w:rsidR="00C51C46" w:rsidRPr="00A61E6C">
        <w:t xml:space="preserve">Sveučilišnog </w:t>
      </w:r>
      <w:proofErr w:type="spellStart"/>
      <w:r w:rsidR="00C51C46" w:rsidRPr="00A61E6C">
        <w:t>kampusa</w:t>
      </w:r>
      <w:proofErr w:type="spellEnd"/>
      <w:r w:rsidR="00C51C46" w:rsidRPr="00A61E6C">
        <w:t xml:space="preserve"> u kompleksu Mornaričke bolnice u Puli</w:t>
      </w:r>
      <w:r w:rsidRPr="00A61E6C">
        <w:t xml:space="preserve">, slijedom </w:t>
      </w:r>
      <w:proofErr w:type="spellStart"/>
      <w:r w:rsidRPr="00A61E6C">
        <w:t>ishodovanih</w:t>
      </w:r>
      <w:proofErr w:type="spellEnd"/>
      <w:r w:rsidRPr="00A61E6C">
        <w:t xml:space="preserve"> sredstava za financiranje iz ITU mehanizama urbanog područja Pula, uz sufinanciranje nadležnog MZO</w:t>
      </w:r>
      <w:r w:rsidR="00C51C46" w:rsidRPr="00A61E6C">
        <w:t>.</w:t>
      </w:r>
    </w:p>
    <w:p w:rsidR="00C51C46" w:rsidRPr="00A61E6C" w:rsidRDefault="00C51C46" w:rsidP="00C51C46">
      <w:pPr>
        <w:rPr>
          <w:b/>
          <w:sz w:val="28"/>
        </w:rPr>
      </w:pPr>
      <w:r w:rsidRPr="00A61E6C">
        <w:rPr>
          <w:b/>
          <w:sz w:val="28"/>
        </w:rPr>
        <w:t xml:space="preserve">Šifra i naziv aktivnosti/ projekta </w:t>
      </w:r>
    </w:p>
    <w:p w:rsidR="00C51C46" w:rsidRPr="00A61E6C" w:rsidRDefault="00C51C46" w:rsidP="00C51C46"/>
    <w:p w:rsidR="00C51C46" w:rsidRPr="00A61E6C" w:rsidRDefault="00C51C46" w:rsidP="00C51C4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A61E6C">
        <w:t>A621168 Redovna djelatnost Sveučilišta u Puli</w:t>
      </w:r>
    </w:p>
    <w:p w:rsidR="00C51C46" w:rsidRPr="00A61E6C" w:rsidRDefault="00C51C46" w:rsidP="00C51C46">
      <w:pPr>
        <w:jc w:val="both"/>
        <w:rPr>
          <w:i/>
        </w:rPr>
      </w:pP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t>Zakonske i druge pravne osnove</w:t>
      </w:r>
    </w:p>
    <w:p w:rsidR="00C51C46" w:rsidRPr="00A61E6C" w:rsidRDefault="00C51C46" w:rsidP="00C51C46">
      <w:pPr>
        <w:numPr>
          <w:ilvl w:val="0"/>
          <w:numId w:val="8"/>
        </w:numPr>
        <w:tabs>
          <w:tab w:val="num" w:pos="540"/>
        </w:tabs>
        <w:ind w:left="0" w:hanging="357"/>
        <w:jc w:val="both"/>
        <w:rPr>
          <w:rFonts w:cs="Arial"/>
        </w:rPr>
      </w:pPr>
      <w:r w:rsidRPr="00A61E6C">
        <w:rPr>
          <w:rFonts w:cs="Arial"/>
        </w:rPr>
        <w:lastRenderedPageBreak/>
        <w:t xml:space="preserve">Zakon o znanstvenoj djelatnosti i visokom obrazovanju (NN </w:t>
      </w:r>
      <w:r w:rsidRPr="00A61E6C">
        <w:t>123/03,  198/03,   105/04, 174/04, 2/07 - OUSRH, 46/07, 45/09, 63/11, 94/13, 139/13 i 101/14, 60/15, 131/17)</w:t>
      </w:r>
    </w:p>
    <w:p w:rsidR="0062439C" w:rsidRPr="00A61E6C" w:rsidRDefault="00C51C46" w:rsidP="0062439C">
      <w:pPr>
        <w:numPr>
          <w:ilvl w:val="0"/>
          <w:numId w:val="8"/>
        </w:numPr>
        <w:tabs>
          <w:tab w:val="num" w:pos="540"/>
        </w:tabs>
        <w:ind w:left="0" w:hanging="357"/>
        <w:jc w:val="both"/>
        <w:rPr>
          <w:rFonts w:cs="Arial"/>
        </w:rPr>
      </w:pPr>
      <w:r w:rsidRPr="00A61E6C">
        <w:t>Kolektivni ugovor za znanost i visoko obrazovanje (NN 9/2019)</w:t>
      </w:r>
    </w:p>
    <w:p w:rsidR="00D43D62" w:rsidRPr="00A61E6C" w:rsidRDefault="0062439C" w:rsidP="00D43D62">
      <w:pPr>
        <w:numPr>
          <w:ilvl w:val="0"/>
          <w:numId w:val="8"/>
        </w:numPr>
        <w:tabs>
          <w:tab w:val="num" w:pos="540"/>
        </w:tabs>
        <w:ind w:left="0" w:hanging="357"/>
        <w:jc w:val="both"/>
        <w:rPr>
          <w:rFonts w:cs="Arial"/>
          <w:iCs/>
        </w:rPr>
      </w:pPr>
      <w:r w:rsidRPr="00A61E6C">
        <w:rPr>
          <w:iCs/>
        </w:rPr>
        <w:t xml:space="preserve">Uredba o nazivima radnih mjesta i koeficijentima složenosti poslova u javnim službama </w:t>
      </w:r>
    </w:p>
    <w:p w:rsidR="0062439C" w:rsidRPr="00A61E6C" w:rsidRDefault="00D43D62" w:rsidP="00D43D62">
      <w:pPr>
        <w:jc w:val="both"/>
      </w:pPr>
      <w:r w:rsidRPr="00A61E6C">
        <w:rPr>
          <w:rFonts w:cs="Arial"/>
        </w:rPr>
        <w:t>(NN 25/13, 72/13,151/13, 09/14, 40/14, 51/14, 77/14, 83/14 - Ispravak, 87/14, 120/14, 147/14, 151/14, 11/15, 32/15, 38/15, 60/15, 83/15, 112/15, 122/15, 10/17, 39/17, 40/17 - Ispravak, 74/17, 122/17, 9/18, 57/18, 59/19, 79/19, 119/19, 50/20, 128/20, 141/20, 17/21, 26/21 i 78/21)</w:t>
      </w:r>
    </w:p>
    <w:p w:rsidR="00C51C46" w:rsidRPr="00A61E6C" w:rsidRDefault="00C51C46" w:rsidP="00C51C46">
      <w:pPr>
        <w:numPr>
          <w:ilvl w:val="0"/>
          <w:numId w:val="8"/>
        </w:numPr>
        <w:tabs>
          <w:tab w:val="num" w:pos="540"/>
        </w:tabs>
        <w:spacing w:line="240" w:lineRule="atLeast"/>
        <w:ind w:left="0" w:hanging="357"/>
        <w:jc w:val="both"/>
        <w:rPr>
          <w:rFonts w:cs="Arial"/>
        </w:rPr>
      </w:pPr>
      <w:r w:rsidRPr="00A61E6C">
        <w:rPr>
          <w:rFonts w:cs="Arial"/>
        </w:rPr>
        <w:t>Zakon o studentskom zboru i drugim studentskim organizacijama (NN 71/07)</w:t>
      </w:r>
    </w:p>
    <w:p w:rsidR="00C51C46" w:rsidRPr="00A61E6C" w:rsidRDefault="00C51C46" w:rsidP="00C51C46">
      <w:pPr>
        <w:numPr>
          <w:ilvl w:val="0"/>
          <w:numId w:val="8"/>
        </w:numPr>
        <w:spacing w:line="240" w:lineRule="atLeast"/>
        <w:ind w:left="0"/>
        <w:jc w:val="both"/>
        <w:rPr>
          <w:rStyle w:val="Hyperlink"/>
          <w:color w:val="auto"/>
        </w:rPr>
      </w:pPr>
      <w:r w:rsidRPr="00A61E6C">
        <w:rPr>
          <w:rFonts w:cs="Arial"/>
        </w:rPr>
        <w:t xml:space="preserve">Strategija znanosti, obrazovanja i tehnologije, </w:t>
      </w:r>
      <w:hyperlink r:id="rId7" w:history="1">
        <w:r w:rsidRPr="00A61E6C">
          <w:rPr>
            <w:rStyle w:val="Hyperlink"/>
            <w:rFonts w:cs="Arial"/>
            <w:color w:val="auto"/>
          </w:rPr>
          <w:t>http://narodne-novine.nn.hr/clanci/sluzbeni/2014_10_124_2364.html</w:t>
        </w:r>
      </w:hyperlink>
    </w:p>
    <w:p w:rsidR="00C51C46" w:rsidRPr="00A61E6C" w:rsidRDefault="00C51C46" w:rsidP="008F14F0">
      <w:pPr>
        <w:pStyle w:val="ListParagraph"/>
        <w:numPr>
          <w:ilvl w:val="0"/>
          <w:numId w:val="8"/>
        </w:numPr>
        <w:spacing w:after="200" w:line="0" w:lineRule="atLeast"/>
        <w:ind w:left="0"/>
        <w:jc w:val="both"/>
        <w:rPr>
          <w:u w:val="single"/>
        </w:rPr>
      </w:pPr>
      <w:r w:rsidRPr="00A61E6C">
        <w:rPr>
          <w:rFonts w:ascii="Times New Roman" w:hAnsi="Times New Roman" w:cs="Times New Roman"/>
          <w:sz w:val="24"/>
          <w:szCs w:val="24"/>
        </w:rPr>
        <w:t>Strategija razvoja Sveučilišta Jurja Dobrile u Puli 20</w:t>
      </w:r>
      <w:r w:rsidR="008F14F0" w:rsidRPr="00A61E6C">
        <w:rPr>
          <w:rFonts w:ascii="Times New Roman" w:hAnsi="Times New Roman" w:cs="Times New Roman"/>
          <w:sz w:val="24"/>
          <w:szCs w:val="24"/>
        </w:rPr>
        <w:t>21</w:t>
      </w:r>
      <w:r w:rsidRPr="00A61E6C">
        <w:rPr>
          <w:rFonts w:ascii="Times New Roman" w:hAnsi="Times New Roman" w:cs="Times New Roman"/>
          <w:sz w:val="24"/>
          <w:szCs w:val="24"/>
        </w:rPr>
        <w:t>.-202</w:t>
      </w:r>
      <w:r w:rsidR="008F14F0" w:rsidRPr="00A61E6C">
        <w:rPr>
          <w:rFonts w:ascii="Times New Roman" w:hAnsi="Times New Roman" w:cs="Times New Roman"/>
          <w:sz w:val="24"/>
          <w:szCs w:val="24"/>
        </w:rPr>
        <w:t>6</w:t>
      </w:r>
      <w:r w:rsidRPr="00A61E6C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8F14F0" w:rsidRPr="00A61E6C" w:rsidRDefault="008F14F0" w:rsidP="008F14F0">
      <w:pPr>
        <w:pStyle w:val="ListParagraph"/>
        <w:spacing w:after="200" w:line="0" w:lineRule="atLeast"/>
        <w:ind w:left="0"/>
        <w:jc w:val="both"/>
        <w:rPr>
          <w:rStyle w:val="Hyperlink"/>
          <w:color w:val="auto"/>
        </w:rPr>
      </w:pPr>
      <w:r w:rsidRPr="00A61E6C">
        <w:rPr>
          <w:rStyle w:val="Hyperlink"/>
          <w:color w:val="auto"/>
        </w:rPr>
        <w:t>https://www.unipu.hr/_news/93569/Strategija%20razvoja%20Sveucilista%202021.%20-%202026..pdf</w:t>
      </w:r>
    </w:p>
    <w:p w:rsidR="00C51C46" w:rsidRPr="00A61E6C" w:rsidRDefault="00C51C46" w:rsidP="00C51C46">
      <w:pPr>
        <w:jc w:val="both"/>
        <w:rPr>
          <w:iCs/>
          <w:rtl/>
          <w:cs/>
          <w:lang w:bidi="ta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1248"/>
        <w:gridCol w:w="1248"/>
        <w:gridCol w:w="1248"/>
        <w:gridCol w:w="1275"/>
        <w:gridCol w:w="1275"/>
        <w:gridCol w:w="1136"/>
      </w:tblGrid>
      <w:tr w:rsidR="00A61E6C" w:rsidRPr="00A61E6C" w:rsidTr="002579AE">
        <w:tc>
          <w:tcPr>
            <w:tcW w:w="1632" w:type="dxa"/>
            <w:shd w:val="clear" w:color="auto" w:fill="D0CECE" w:themeFill="background2" w:themeFillShade="E6"/>
          </w:tcPr>
          <w:p w:rsidR="00C51C46" w:rsidRPr="00A61E6C" w:rsidRDefault="00C51C46" w:rsidP="00C51C46">
            <w:pPr>
              <w:jc w:val="both"/>
            </w:pPr>
            <w:bookmarkStart w:id="0" w:name="_Hlk115175384"/>
          </w:p>
          <w:p w:rsidR="00C51C46" w:rsidRPr="00A61E6C" w:rsidRDefault="00C51C46" w:rsidP="00C51C46">
            <w:pPr>
              <w:jc w:val="both"/>
            </w:pP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Izvršenje 20</w:t>
            </w:r>
            <w:r w:rsidR="007A52B3" w:rsidRPr="00A61E6C">
              <w:t>2</w:t>
            </w:r>
            <w:r w:rsidR="008B5991" w:rsidRPr="00A61E6C">
              <w:t>2</w:t>
            </w:r>
            <w:r w:rsidRPr="00A61E6C">
              <w:t>.</w:t>
            </w: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Plan 20</w:t>
            </w:r>
            <w:r w:rsidR="009D1474" w:rsidRPr="00A61E6C">
              <w:t>2</w:t>
            </w:r>
            <w:r w:rsidR="008B5991" w:rsidRPr="00A61E6C">
              <w:t>3</w:t>
            </w:r>
            <w:r w:rsidRPr="00A61E6C">
              <w:t>.</w:t>
            </w: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Plan 202</w:t>
            </w:r>
            <w:r w:rsidR="008B5991" w:rsidRPr="00A61E6C">
              <w:t>4</w:t>
            </w:r>
            <w:r w:rsidRPr="00A61E6C">
              <w:t>.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Plan 202</w:t>
            </w:r>
            <w:r w:rsidR="008B5991" w:rsidRPr="00A61E6C">
              <w:t>5</w:t>
            </w:r>
            <w:r w:rsidRPr="00A61E6C">
              <w:t>.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Plan 202</w:t>
            </w:r>
            <w:r w:rsidR="008B5991" w:rsidRPr="00A61E6C">
              <w:t>6</w:t>
            </w:r>
            <w:r w:rsidRPr="00A61E6C">
              <w:t>.</w:t>
            </w:r>
          </w:p>
        </w:tc>
        <w:tc>
          <w:tcPr>
            <w:tcW w:w="1136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Indeks 2</w:t>
            </w:r>
            <w:r w:rsidR="008B5991" w:rsidRPr="00A61E6C">
              <w:t>4</w:t>
            </w:r>
            <w:r w:rsidRPr="00A61E6C">
              <w:t>./</w:t>
            </w:r>
            <w:r w:rsidR="009D1474" w:rsidRPr="00A61E6C">
              <w:t>2</w:t>
            </w:r>
            <w:r w:rsidR="008B5991" w:rsidRPr="00A61E6C">
              <w:t>3</w:t>
            </w:r>
            <w:r w:rsidRPr="00A61E6C">
              <w:t>.</w:t>
            </w:r>
          </w:p>
        </w:tc>
      </w:tr>
      <w:tr w:rsidR="00A61E6C" w:rsidRPr="00A61E6C" w:rsidTr="002579AE">
        <w:tc>
          <w:tcPr>
            <w:tcW w:w="1632" w:type="dxa"/>
          </w:tcPr>
          <w:p w:rsidR="00C51C46" w:rsidRPr="00A61E6C" w:rsidRDefault="00C51C46" w:rsidP="00C51C46">
            <w:r w:rsidRPr="00A61E6C">
              <w:t>Šifra aktivnosti/ programa</w:t>
            </w:r>
          </w:p>
          <w:p w:rsidR="00C51C46" w:rsidRPr="00A61E6C" w:rsidRDefault="00C51C46" w:rsidP="00C51C46">
            <w:r w:rsidRPr="00A61E6C">
              <w:t>A621168</w:t>
            </w:r>
          </w:p>
          <w:p w:rsidR="00C51C46" w:rsidRPr="00A61E6C" w:rsidRDefault="00C51C46" w:rsidP="00C51C46">
            <w:r w:rsidRPr="00A61E6C">
              <w:t>Redovna djelatnost Sveučilišta u Puli</w:t>
            </w:r>
          </w:p>
        </w:tc>
        <w:tc>
          <w:tcPr>
            <w:tcW w:w="1248" w:type="dxa"/>
            <w:shd w:val="clear" w:color="auto" w:fill="auto"/>
          </w:tcPr>
          <w:p w:rsidR="00C51C46" w:rsidRPr="00A61E6C" w:rsidRDefault="00994478" w:rsidP="000C7476">
            <w:pPr>
              <w:jc w:val="both"/>
            </w:pPr>
            <w:r w:rsidRPr="00A61E6C">
              <w:t>7.830.369 EUR</w:t>
            </w:r>
          </w:p>
        </w:tc>
        <w:tc>
          <w:tcPr>
            <w:tcW w:w="1248" w:type="dxa"/>
          </w:tcPr>
          <w:p w:rsidR="00C51C46" w:rsidRPr="00A61E6C" w:rsidRDefault="009F7B6A" w:rsidP="00C51C46">
            <w:pPr>
              <w:jc w:val="both"/>
              <w:rPr>
                <w:lang w:val="en-US"/>
              </w:rPr>
            </w:pPr>
            <w:r w:rsidRPr="00A61E6C">
              <w:t>9</w:t>
            </w:r>
            <w:r w:rsidR="00DA3460" w:rsidRPr="00A61E6C">
              <w:t>.</w:t>
            </w:r>
            <w:r w:rsidRPr="00A61E6C">
              <w:t>024</w:t>
            </w:r>
            <w:r w:rsidR="00DA3460" w:rsidRPr="00A61E6C">
              <w:t>.315</w:t>
            </w:r>
            <w:r w:rsidR="008B5991" w:rsidRPr="00A61E6C">
              <w:t xml:space="preserve"> </w:t>
            </w:r>
            <w:r w:rsidR="005F3B3D" w:rsidRPr="00A61E6C">
              <w:t>EUR</w:t>
            </w:r>
          </w:p>
        </w:tc>
        <w:tc>
          <w:tcPr>
            <w:tcW w:w="1248" w:type="dxa"/>
          </w:tcPr>
          <w:p w:rsidR="00C51C46" w:rsidRPr="00A61E6C" w:rsidRDefault="008B5991" w:rsidP="00C51C46">
            <w:pPr>
              <w:jc w:val="both"/>
            </w:pPr>
            <w:r w:rsidRPr="00A61E6C">
              <w:t>9.</w:t>
            </w:r>
            <w:r w:rsidR="00DA3460" w:rsidRPr="00A61E6C">
              <w:t>829.683</w:t>
            </w:r>
            <w:r w:rsidR="005F3B3D" w:rsidRPr="00A61E6C">
              <w:t xml:space="preserve"> EUR</w:t>
            </w:r>
          </w:p>
        </w:tc>
        <w:tc>
          <w:tcPr>
            <w:tcW w:w="1275" w:type="dxa"/>
          </w:tcPr>
          <w:p w:rsidR="00C51C46" w:rsidRPr="00A61E6C" w:rsidRDefault="008B5991" w:rsidP="00C51C46">
            <w:pPr>
              <w:jc w:val="both"/>
            </w:pPr>
            <w:r w:rsidRPr="00A61E6C">
              <w:t>9.</w:t>
            </w:r>
            <w:r w:rsidR="00DA3460" w:rsidRPr="00A61E6C">
              <w:t>859</w:t>
            </w:r>
            <w:r w:rsidRPr="00A61E6C">
              <w:t>.</w:t>
            </w:r>
            <w:r w:rsidR="00DA3460" w:rsidRPr="00A61E6C">
              <w:t>518</w:t>
            </w:r>
            <w:r w:rsidR="005F3B3D" w:rsidRPr="00A61E6C">
              <w:t xml:space="preserve"> EUR</w:t>
            </w:r>
          </w:p>
        </w:tc>
        <w:tc>
          <w:tcPr>
            <w:tcW w:w="1275" w:type="dxa"/>
          </w:tcPr>
          <w:p w:rsidR="00C51C46" w:rsidRPr="00A61E6C" w:rsidRDefault="008B5991" w:rsidP="00C51C46">
            <w:pPr>
              <w:jc w:val="both"/>
            </w:pPr>
            <w:r w:rsidRPr="00A61E6C">
              <w:t>9.</w:t>
            </w:r>
            <w:r w:rsidR="00DA3460" w:rsidRPr="00A61E6C">
              <w:t>864</w:t>
            </w:r>
            <w:r w:rsidRPr="00A61E6C">
              <w:t>.</w:t>
            </w:r>
            <w:r w:rsidR="00DA3460" w:rsidRPr="00A61E6C">
              <w:t xml:space="preserve">878 </w:t>
            </w:r>
            <w:r w:rsidR="005F3B3D" w:rsidRPr="00A61E6C">
              <w:t>EUR</w:t>
            </w:r>
          </w:p>
        </w:tc>
        <w:tc>
          <w:tcPr>
            <w:tcW w:w="1136" w:type="dxa"/>
          </w:tcPr>
          <w:p w:rsidR="00C51C46" w:rsidRPr="00A61E6C" w:rsidRDefault="00DA3460" w:rsidP="00C51C46">
            <w:pPr>
              <w:jc w:val="both"/>
              <w:rPr>
                <w:lang w:val="en-US"/>
              </w:rPr>
            </w:pPr>
            <w:r w:rsidRPr="00A61E6C">
              <w:t>109</w:t>
            </w:r>
          </w:p>
        </w:tc>
      </w:tr>
    </w:tbl>
    <w:bookmarkEnd w:id="0"/>
    <w:p w:rsidR="00C51C46" w:rsidRPr="00A61E6C" w:rsidRDefault="00C51C46" w:rsidP="00C51C46">
      <w:pPr>
        <w:spacing w:before="240"/>
        <w:jc w:val="both"/>
        <w:rPr>
          <w:i/>
        </w:rPr>
      </w:pPr>
      <w:r w:rsidRPr="00A61E6C">
        <w:rPr>
          <w:i/>
        </w:rPr>
        <w:t xml:space="preserve">Ova aktivnost/ projekt sastoji se od sljedećih elemenata/ </w:t>
      </w:r>
      <w:proofErr w:type="spellStart"/>
      <w:r w:rsidRPr="00A61E6C">
        <w:rPr>
          <w:i/>
        </w:rPr>
        <w:t>podaktivnosti</w:t>
      </w:r>
      <w:proofErr w:type="spellEnd"/>
      <w:r w:rsidRPr="00A61E6C">
        <w:rPr>
          <w:i/>
        </w:rPr>
        <w:t>:</w:t>
      </w:r>
    </w:p>
    <w:p w:rsidR="00C51C46" w:rsidRPr="00A61E6C" w:rsidRDefault="00C51C46" w:rsidP="002579AE">
      <w:pPr>
        <w:pStyle w:val="ListParagraph"/>
        <w:numPr>
          <w:ilvl w:val="0"/>
          <w:numId w:val="12"/>
        </w:numPr>
        <w:jc w:val="both"/>
        <w:rPr>
          <w:i/>
        </w:rPr>
      </w:pPr>
      <w:r w:rsidRPr="00A61E6C">
        <w:rPr>
          <w:i/>
        </w:rPr>
        <w:t>Financiranja rashoda za plaće</w:t>
      </w:r>
    </w:p>
    <w:p w:rsidR="00C51C46" w:rsidRPr="00A61E6C" w:rsidRDefault="00C51C46" w:rsidP="002579AE">
      <w:pPr>
        <w:pStyle w:val="ListParagraph"/>
        <w:numPr>
          <w:ilvl w:val="0"/>
          <w:numId w:val="12"/>
        </w:numPr>
        <w:jc w:val="both"/>
        <w:rPr>
          <w:i/>
        </w:rPr>
      </w:pPr>
      <w:r w:rsidRPr="00A61E6C">
        <w:rPr>
          <w:i/>
        </w:rPr>
        <w:t>Financiranja materijalnih prava zaposlenih</w:t>
      </w:r>
    </w:p>
    <w:p w:rsidR="00C51C46" w:rsidRPr="00A61E6C" w:rsidRDefault="00C51C46" w:rsidP="002579AE">
      <w:pPr>
        <w:pStyle w:val="ListParagraph"/>
        <w:numPr>
          <w:ilvl w:val="0"/>
          <w:numId w:val="12"/>
        </w:numPr>
        <w:jc w:val="both"/>
        <w:rPr>
          <w:i/>
        </w:rPr>
      </w:pPr>
      <w:r w:rsidRPr="00A61E6C">
        <w:rPr>
          <w:i/>
        </w:rPr>
        <w:t>Financiranje rada studentskog zbora</w:t>
      </w: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t xml:space="preserve">Ova aktivnost provodi se svake godine.  </w:t>
      </w: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t>U razdoblju 202</w:t>
      </w:r>
      <w:r w:rsidR="00953B20" w:rsidRPr="00A61E6C">
        <w:rPr>
          <w:i/>
        </w:rPr>
        <w:t>4</w:t>
      </w:r>
      <w:r w:rsidRPr="00A61E6C">
        <w:rPr>
          <w:i/>
        </w:rPr>
        <w:t>. – 202</w:t>
      </w:r>
      <w:r w:rsidR="00953B20" w:rsidRPr="00A61E6C">
        <w:rPr>
          <w:i/>
        </w:rPr>
        <w:t>6</w:t>
      </w:r>
      <w:r w:rsidRPr="00A61E6C">
        <w:rPr>
          <w:i/>
        </w:rPr>
        <w:t xml:space="preserve">. </w:t>
      </w:r>
      <w:r w:rsidR="006C4A4F" w:rsidRPr="00A61E6C">
        <w:rPr>
          <w:i/>
        </w:rPr>
        <w:t xml:space="preserve">planiran je </w:t>
      </w:r>
      <w:r w:rsidR="00A31918" w:rsidRPr="00A61E6C">
        <w:rPr>
          <w:i/>
        </w:rPr>
        <w:t>manji</w:t>
      </w:r>
      <w:r w:rsidR="006C4A4F" w:rsidRPr="00A61E6C">
        <w:rPr>
          <w:i/>
        </w:rPr>
        <w:t xml:space="preserve"> porast</w:t>
      </w:r>
      <w:r w:rsidR="00860859" w:rsidRPr="00A61E6C">
        <w:rPr>
          <w:i/>
        </w:rPr>
        <w:t xml:space="preserve"> na pozicijama ove aktivnosti, </w:t>
      </w:r>
      <w:r w:rsidR="006C4A4F" w:rsidRPr="00A61E6C">
        <w:rPr>
          <w:i/>
        </w:rPr>
        <w:t>sukladno očekivanim</w:t>
      </w:r>
      <w:r w:rsidR="00860859" w:rsidRPr="00A61E6C">
        <w:rPr>
          <w:i/>
        </w:rPr>
        <w:t xml:space="preserve"> makroekonomski</w:t>
      </w:r>
      <w:r w:rsidR="006C4A4F" w:rsidRPr="00A61E6C">
        <w:rPr>
          <w:i/>
        </w:rPr>
        <w:t>m</w:t>
      </w:r>
      <w:r w:rsidR="00860859" w:rsidRPr="00A61E6C">
        <w:rPr>
          <w:i/>
        </w:rPr>
        <w:t xml:space="preserve"> pokazatelj</w:t>
      </w:r>
      <w:r w:rsidR="006C4A4F" w:rsidRPr="00A61E6C">
        <w:rPr>
          <w:i/>
        </w:rPr>
        <w:t>ima</w:t>
      </w:r>
      <w:r w:rsidR="00D22624" w:rsidRPr="00A61E6C">
        <w:rPr>
          <w:i/>
        </w:rPr>
        <w:t xml:space="preserve"> i</w:t>
      </w:r>
      <w:r w:rsidR="006C4A4F" w:rsidRPr="00A61E6C">
        <w:rPr>
          <w:i/>
        </w:rPr>
        <w:t xml:space="preserve"> visini proračunske osnovice</w:t>
      </w:r>
      <w:r w:rsidR="00D22624" w:rsidRPr="00A61E6C">
        <w:rPr>
          <w:i/>
        </w:rPr>
        <w:t>.</w:t>
      </w:r>
      <w:r w:rsidRPr="00A61E6C">
        <w:rPr>
          <w:i/>
        </w:rPr>
        <w:t xml:space="preserve"> </w:t>
      </w:r>
      <w:r w:rsidR="00953B20" w:rsidRPr="00A61E6C">
        <w:rPr>
          <w:i/>
        </w:rPr>
        <w:t>U narednom razdoblju</w:t>
      </w:r>
      <w:r w:rsidR="00860859" w:rsidRPr="00A61E6C">
        <w:rPr>
          <w:i/>
        </w:rPr>
        <w:t xml:space="preserve"> </w:t>
      </w:r>
      <w:r w:rsidR="00F811B1" w:rsidRPr="00A61E6C">
        <w:rPr>
          <w:i/>
        </w:rPr>
        <w:t xml:space="preserve">ne očekuju se promjene intenziteta i uporabe </w:t>
      </w:r>
      <w:r w:rsidR="00860859" w:rsidRPr="00A61E6C">
        <w:rPr>
          <w:i/>
        </w:rPr>
        <w:t>namjenskih sredstava za ovu svrhu.</w:t>
      </w:r>
    </w:p>
    <w:p w:rsidR="00C51C46" w:rsidRPr="00A61E6C" w:rsidRDefault="00C51C46" w:rsidP="00C51C46">
      <w:pPr>
        <w:jc w:val="both"/>
        <w:rPr>
          <w:i/>
        </w:rPr>
      </w:pP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t>Izračun financijskog plana:</w:t>
      </w:r>
    </w:p>
    <w:p w:rsidR="00C51C46" w:rsidRPr="00A61E6C" w:rsidRDefault="00C51C46" w:rsidP="00A45D8E">
      <w:pPr>
        <w:pStyle w:val="ListParagraph"/>
        <w:numPr>
          <w:ilvl w:val="0"/>
          <w:numId w:val="13"/>
        </w:numPr>
        <w:spacing w:after="0"/>
        <w:jc w:val="both"/>
        <w:rPr>
          <w:i/>
        </w:rPr>
      </w:pPr>
      <w:r w:rsidRPr="00A61E6C">
        <w:rPr>
          <w:i/>
        </w:rPr>
        <w:t xml:space="preserve">Element/ </w:t>
      </w:r>
      <w:proofErr w:type="spellStart"/>
      <w:r w:rsidRPr="00A61E6C">
        <w:rPr>
          <w:i/>
        </w:rPr>
        <w:t>podaktivnost</w:t>
      </w:r>
      <w:proofErr w:type="spellEnd"/>
      <w:r w:rsidRPr="00A61E6C">
        <w:rPr>
          <w:i/>
        </w:rPr>
        <w:t xml:space="preserve"> 1:</w:t>
      </w:r>
    </w:p>
    <w:p w:rsidR="00C51C46" w:rsidRPr="00A61E6C" w:rsidRDefault="00A45D8E" w:rsidP="00C51C46">
      <w:pPr>
        <w:ind w:left="640"/>
        <w:jc w:val="both"/>
        <w:rPr>
          <w:i/>
          <w:iCs/>
        </w:rPr>
      </w:pPr>
      <w:r w:rsidRPr="00A61E6C">
        <w:rPr>
          <w:i/>
        </w:rPr>
        <w:t>Planirani b</w:t>
      </w:r>
      <w:r w:rsidR="00C51C46" w:rsidRPr="00A61E6C">
        <w:rPr>
          <w:i/>
        </w:rPr>
        <w:t>roj zaposlenih u 20</w:t>
      </w:r>
      <w:r w:rsidR="00953B20" w:rsidRPr="00A61E6C">
        <w:rPr>
          <w:i/>
        </w:rPr>
        <w:t>24</w:t>
      </w:r>
      <w:r w:rsidR="00C51C46" w:rsidRPr="00A61E6C">
        <w:rPr>
          <w:i/>
        </w:rPr>
        <w:t>.g. x iznos prosječne mjesečne plaće x 12 mjeseci + ostali rashodi za  zaposlene=</w:t>
      </w:r>
      <w:r w:rsidR="004B4BF1" w:rsidRPr="00A61E6C">
        <w:rPr>
          <w:i/>
        </w:rPr>
        <w:t>9.591.714</w:t>
      </w:r>
      <w:r w:rsidR="00197C91" w:rsidRPr="00A61E6C">
        <w:rPr>
          <w:i/>
        </w:rPr>
        <w:t xml:space="preserve"> </w:t>
      </w:r>
      <w:r w:rsidR="00EF2242" w:rsidRPr="00A61E6C">
        <w:rPr>
          <w:i/>
        </w:rPr>
        <w:t>EUR</w:t>
      </w:r>
    </w:p>
    <w:p w:rsidR="0033332B" w:rsidRPr="00A61E6C" w:rsidRDefault="00C51C46" w:rsidP="00C51C46">
      <w:pPr>
        <w:ind w:left="640"/>
        <w:jc w:val="both"/>
        <w:rPr>
          <w:i/>
          <w:iCs/>
        </w:rPr>
      </w:pPr>
      <w:r w:rsidRPr="00A61E6C">
        <w:rPr>
          <w:i/>
        </w:rPr>
        <w:t>Broj zaposlenih u 202</w:t>
      </w:r>
      <w:r w:rsidR="00953B20" w:rsidRPr="00A61E6C">
        <w:rPr>
          <w:i/>
        </w:rPr>
        <w:t>5</w:t>
      </w:r>
      <w:r w:rsidRPr="00A61E6C">
        <w:rPr>
          <w:i/>
        </w:rPr>
        <w:t>.g. x iznos prosječne mjesečne plaće x 12 mjeseci + ostali rashodi za  zaposlene=</w:t>
      </w:r>
      <w:r w:rsidR="00197C91" w:rsidRPr="00A61E6C">
        <w:rPr>
          <w:i/>
        </w:rPr>
        <w:t>9.</w:t>
      </w:r>
      <w:r w:rsidR="004B4BF1" w:rsidRPr="00A61E6C">
        <w:rPr>
          <w:i/>
        </w:rPr>
        <w:t>621.549</w:t>
      </w:r>
      <w:r w:rsidR="00197C91" w:rsidRPr="00A61E6C">
        <w:rPr>
          <w:i/>
        </w:rPr>
        <w:t xml:space="preserve"> </w:t>
      </w:r>
      <w:r w:rsidR="00613F72" w:rsidRPr="00A61E6C">
        <w:rPr>
          <w:i/>
        </w:rPr>
        <w:t xml:space="preserve">EUR </w:t>
      </w:r>
    </w:p>
    <w:p w:rsidR="0024466E" w:rsidRPr="00A61E6C" w:rsidRDefault="00C51C46" w:rsidP="00445616">
      <w:pPr>
        <w:ind w:left="640"/>
        <w:jc w:val="both"/>
        <w:rPr>
          <w:i/>
        </w:rPr>
      </w:pPr>
      <w:r w:rsidRPr="00A61E6C">
        <w:rPr>
          <w:i/>
        </w:rPr>
        <w:t>Broj zaposlenih u 202</w:t>
      </w:r>
      <w:r w:rsidR="00953B20" w:rsidRPr="00A61E6C">
        <w:rPr>
          <w:i/>
        </w:rPr>
        <w:t>6</w:t>
      </w:r>
      <w:r w:rsidRPr="00A61E6C">
        <w:rPr>
          <w:i/>
        </w:rPr>
        <w:t>.g. x iznos prosječne mjesečne plaće x 12 mjeseci + ostali rashodi za  zaposlene=</w:t>
      </w:r>
      <w:r w:rsidR="00EF2242" w:rsidRPr="00A61E6C">
        <w:rPr>
          <w:i/>
        </w:rPr>
        <w:t>9.</w:t>
      </w:r>
      <w:r w:rsidR="004B4BF1" w:rsidRPr="00A61E6C">
        <w:rPr>
          <w:i/>
        </w:rPr>
        <w:t>626.909</w:t>
      </w:r>
      <w:r w:rsidR="00197C91" w:rsidRPr="00A61E6C">
        <w:rPr>
          <w:i/>
        </w:rPr>
        <w:t xml:space="preserve"> </w:t>
      </w:r>
      <w:r w:rsidR="00613F72" w:rsidRPr="00A61E6C">
        <w:rPr>
          <w:i/>
        </w:rPr>
        <w:t xml:space="preserve">EUR </w:t>
      </w:r>
    </w:p>
    <w:p w:rsidR="00C51C46" w:rsidRPr="00A61E6C" w:rsidRDefault="00C51C46" w:rsidP="0024466E">
      <w:pPr>
        <w:pStyle w:val="ListParagraph"/>
        <w:numPr>
          <w:ilvl w:val="0"/>
          <w:numId w:val="13"/>
        </w:numPr>
        <w:jc w:val="both"/>
        <w:rPr>
          <w:i/>
        </w:rPr>
      </w:pPr>
      <w:r w:rsidRPr="00A61E6C">
        <w:rPr>
          <w:i/>
        </w:rPr>
        <w:t xml:space="preserve">Element/ </w:t>
      </w:r>
      <w:proofErr w:type="spellStart"/>
      <w:r w:rsidRPr="00A61E6C">
        <w:rPr>
          <w:i/>
        </w:rPr>
        <w:t>podaktivnost</w:t>
      </w:r>
      <w:proofErr w:type="spellEnd"/>
      <w:r w:rsidRPr="00A61E6C">
        <w:rPr>
          <w:i/>
        </w:rPr>
        <w:t xml:space="preserve"> 2:</w:t>
      </w:r>
    </w:p>
    <w:p w:rsidR="00C51C46" w:rsidRPr="00A61E6C" w:rsidRDefault="00C51C46" w:rsidP="00C51C46">
      <w:pPr>
        <w:pStyle w:val="ListParagraph"/>
        <w:jc w:val="both"/>
        <w:rPr>
          <w:i/>
        </w:rPr>
      </w:pPr>
      <w:r w:rsidRPr="00A61E6C">
        <w:rPr>
          <w:i/>
        </w:rPr>
        <w:t xml:space="preserve">Materijalna prava zaposlenih planiraju se u visini </w:t>
      </w:r>
      <w:r w:rsidR="00D22624" w:rsidRPr="00A61E6C">
        <w:rPr>
          <w:i/>
        </w:rPr>
        <w:t xml:space="preserve"> </w:t>
      </w:r>
      <w:r w:rsidR="004B4BF1" w:rsidRPr="00A61E6C">
        <w:rPr>
          <w:i/>
        </w:rPr>
        <w:t>224.697</w:t>
      </w:r>
      <w:r w:rsidR="00D22624" w:rsidRPr="00A61E6C">
        <w:rPr>
          <w:i/>
        </w:rPr>
        <w:t xml:space="preserve"> </w:t>
      </w:r>
      <w:r w:rsidR="00692442" w:rsidRPr="00A61E6C">
        <w:rPr>
          <w:i/>
        </w:rPr>
        <w:t>EUR</w:t>
      </w:r>
      <w:r w:rsidRPr="00A61E6C">
        <w:rPr>
          <w:i/>
        </w:rPr>
        <w:t xml:space="preserve"> u 202</w:t>
      </w:r>
      <w:r w:rsidR="00BF2A71" w:rsidRPr="00A61E6C">
        <w:rPr>
          <w:i/>
        </w:rPr>
        <w:t>4</w:t>
      </w:r>
      <w:r w:rsidRPr="00A61E6C">
        <w:rPr>
          <w:i/>
        </w:rPr>
        <w:t>.g.</w:t>
      </w:r>
      <w:r w:rsidR="00692442" w:rsidRPr="00A61E6C">
        <w:rPr>
          <w:i/>
        </w:rPr>
        <w:t>,</w:t>
      </w:r>
      <w:r w:rsidR="00197C91" w:rsidRPr="00A61E6C">
        <w:rPr>
          <w:i/>
        </w:rPr>
        <w:t xml:space="preserve"> u </w:t>
      </w:r>
      <w:r w:rsidRPr="00A61E6C">
        <w:rPr>
          <w:i/>
        </w:rPr>
        <w:t>202</w:t>
      </w:r>
      <w:r w:rsidR="00BF2A71" w:rsidRPr="00A61E6C">
        <w:rPr>
          <w:i/>
        </w:rPr>
        <w:t>5</w:t>
      </w:r>
      <w:r w:rsidRPr="00A61E6C">
        <w:rPr>
          <w:i/>
        </w:rPr>
        <w:t>.g. i</w:t>
      </w:r>
      <w:r w:rsidR="004B4BF1" w:rsidRPr="00A61E6C">
        <w:rPr>
          <w:i/>
        </w:rPr>
        <w:t xml:space="preserve"> u</w:t>
      </w:r>
      <w:r w:rsidRPr="00A61E6C">
        <w:rPr>
          <w:i/>
        </w:rPr>
        <w:t xml:space="preserve"> 202</w:t>
      </w:r>
      <w:r w:rsidR="00BF2A71" w:rsidRPr="00A61E6C">
        <w:rPr>
          <w:i/>
        </w:rPr>
        <w:t>6</w:t>
      </w:r>
      <w:r w:rsidRPr="00A61E6C">
        <w:rPr>
          <w:i/>
        </w:rPr>
        <w:t>.g.</w:t>
      </w:r>
    </w:p>
    <w:p w:rsidR="00C51C46" w:rsidRPr="00A61E6C" w:rsidRDefault="00C51C46" w:rsidP="00A45D8E">
      <w:pPr>
        <w:pStyle w:val="ListParagraph"/>
        <w:numPr>
          <w:ilvl w:val="0"/>
          <w:numId w:val="13"/>
        </w:numPr>
        <w:spacing w:after="0"/>
        <w:jc w:val="both"/>
        <w:rPr>
          <w:i/>
        </w:rPr>
      </w:pPr>
      <w:r w:rsidRPr="00A61E6C">
        <w:rPr>
          <w:i/>
        </w:rPr>
        <w:t xml:space="preserve">Element/ </w:t>
      </w:r>
      <w:proofErr w:type="spellStart"/>
      <w:r w:rsidRPr="00A61E6C">
        <w:rPr>
          <w:i/>
        </w:rPr>
        <w:t>podaktivnost</w:t>
      </w:r>
      <w:proofErr w:type="spellEnd"/>
      <w:r w:rsidRPr="00A61E6C">
        <w:rPr>
          <w:i/>
        </w:rPr>
        <w:t xml:space="preserve"> 3</w:t>
      </w:r>
    </w:p>
    <w:p w:rsidR="00C51C46" w:rsidRPr="00A61E6C" w:rsidRDefault="00C51C46" w:rsidP="00C51C46">
      <w:pPr>
        <w:pStyle w:val="ListParagraph"/>
        <w:spacing w:after="0"/>
        <w:jc w:val="both"/>
        <w:rPr>
          <w:i/>
        </w:rPr>
      </w:pPr>
      <w:r w:rsidRPr="00A61E6C">
        <w:rPr>
          <w:i/>
        </w:rPr>
        <w:t xml:space="preserve">Sredstva za rad </w:t>
      </w:r>
      <w:r w:rsidR="004308F8" w:rsidRPr="00A61E6C">
        <w:rPr>
          <w:i/>
        </w:rPr>
        <w:t>S</w:t>
      </w:r>
      <w:r w:rsidRPr="00A61E6C">
        <w:rPr>
          <w:i/>
        </w:rPr>
        <w:t xml:space="preserve">tudentskog zbora planiraju se u visini </w:t>
      </w:r>
      <w:r w:rsidR="00665624" w:rsidRPr="00A61E6C">
        <w:rPr>
          <w:i/>
        </w:rPr>
        <w:t>13.272 EUR</w:t>
      </w:r>
      <w:r w:rsidRPr="00A61E6C">
        <w:rPr>
          <w:i/>
        </w:rPr>
        <w:t xml:space="preserve"> u 202</w:t>
      </w:r>
      <w:r w:rsidR="00BF2A71" w:rsidRPr="00A61E6C">
        <w:rPr>
          <w:i/>
        </w:rPr>
        <w:t>4</w:t>
      </w:r>
      <w:r w:rsidRPr="00A61E6C">
        <w:rPr>
          <w:i/>
        </w:rPr>
        <w:t>.g., 202</w:t>
      </w:r>
      <w:r w:rsidR="00BF2A71" w:rsidRPr="00A61E6C">
        <w:rPr>
          <w:i/>
        </w:rPr>
        <w:t>5</w:t>
      </w:r>
      <w:r w:rsidRPr="00A61E6C">
        <w:rPr>
          <w:i/>
        </w:rPr>
        <w:t>.g i 202</w:t>
      </w:r>
      <w:r w:rsidR="00BF2A71" w:rsidRPr="00A61E6C">
        <w:rPr>
          <w:i/>
        </w:rPr>
        <w:t>6</w:t>
      </w:r>
      <w:r w:rsidRPr="00A61E6C">
        <w:rPr>
          <w:i/>
        </w:rPr>
        <w:t>.g.</w:t>
      </w:r>
    </w:p>
    <w:p w:rsidR="00C51C46" w:rsidRPr="00A61E6C" w:rsidRDefault="00C51C46" w:rsidP="00C51C46">
      <w:pPr>
        <w:jc w:val="both"/>
      </w:pPr>
    </w:p>
    <w:tbl>
      <w:tblPr>
        <w:tblStyle w:val="TableGrid"/>
        <w:tblW w:w="9298" w:type="dxa"/>
        <w:tblLayout w:type="fixed"/>
        <w:tblLook w:val="04A0" w:firstRow="1" w:lastRow="0" w:firstColumn="1" w:lastColumn="0" w:noHBand="0" w:noVBand="1"/>
      </w:tblPr>
      <w:tblGrid>
        <w:gridCol w:w="1848"/>
        <w:gridCol w:w="1462"/>
        <w:gridCol w:w="1162"/>
        <w:gridCol w:w="11"/>
        <w:gridCol w:w="1381"/>
        <w:gridCol w:w="1162"/>
        <w:gridCol w:w="1201"/>
        <w:gridCol w:w="1071"/>
      </w:tblGrid>
      <w:tr w:rsidR="00A61E6C" w:rsidRPr="00A61E6C" w:rsidTr="002C3FB0">
        <w:tc>
          <w:tcPr>
            <w:tcW w:w="1848" w:type="dxa"/>
            <w:shd w:val="clear" w:color="auto" w:fill="D0CECE" w:themeFill="background2" w:themeFillShade="E6"/>
          </w:tcPr>
          <w:p w:rsidR="00512EEC" w:rsidRPr="00A61E6C" w:rsidRDefault="00512EEC" w:rsidP="00512EEC">
            <w:pPr>
              <w:jc w:val="both"/>
            </w:pPr>
          </w:p>
          <w:p w:rsidR="00512EEC" w:rsidRPr="00A61E6C" w:rsidRDefault="00270EBA" w:rsidP="00512EEC">
            <w:pPr>
              <w:jc w:val="both"/>
            </w:pPr>
            <w:r w:rsidRPr="00A61E6C">
              <w:t>A621181 PRAVOMOĆNE SUDSKE PRESUDE</w:t>
            </w:r>
          </w:p>
        </w:tc>
        <w:tc>
          <w:tcPr>
            <w:tcW w:w="1462" w:type="dxa"/>
            <w:shd w:val="clear" w:color="auto" w:fill="D0CECE" w:themeFill="background2" w:themeFillShade="E6"/>
            <w:vAlign w:val="center"/>
          </w:tcPr>
          <w:p w:rsidR="00512EEC" w:rsidRPr="00A61E6C" w:rsidRDefault="00512EEC" w:rsidP="00512EEC">
            <w:pPr>
              <w:jc w:val="center"/>
            </w:pPr>
            <w:r w:rsidRPr="00A61E6C">
              <w:t>Definicija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512EEC" w:rsidRPr="00A61E6C" w:rsidRDefault="00165929" w:rsidP="00512EEC">
            <w:pPr>
              <w:jc w:val="center"/>
            </w:pPr>
            <w:r w:rsidRPr="00A61E6C">
              <w:t>Broj isplaćenih sudskih presuda 2021.</w:t>
            </w:r>
            <w:r w:rsidR="00BF2A71" w:rsidRPr="00A61E6C">
              <w:t xml:space="preserve"> i 2022, </w:t>
            </w:r>
          </w:p>
        </w:tc>
        <w:tc>
          <w:tcPr>
            <w:tcW w:w="1392" w:type="dxa"/>
            <w:gridSpan w:val="2"/>
            <w:shd w:val="clear" w:color="auto" w:fill="D0CECE" w:themeFill="background2" w:themeFillShade="E6"/>
            <w:vAlign w:val="center"/>
          </w:tcPr>
          <w:p w:rsidR="00512EEC" w:rsidRPr="00A61E6C" w:rsidRDefault="00165929" w:rsidP="00512EEC">
            <w:pPr>
              <w:jc w:val="center"/>
            </w:pPr>
            <w:r w:rsidRPr="00A61E6C">
              <w:t>Vrijednost isplaćenih presuda u 2021.</w:t>
            </w:r>
            <w:r w:rsidR="00BF2A71" w:rsidRPr="00A61E6C">
              <w:t xml:space="preserve"> i 2022.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512EEC" w:rsidRPr="00A61E6C" w:rsidRDefault="00165929" w:rsidP="00512EEC">
            <w:pPr>
              <w:jc w:val="center"/>
            </w:pPr>
            <w:r w:rsidRPr="00A61E6C">
              <w:t>Broj isplaćenih sudskih presuda 202</w:t>
            </w:r>
            <w:r w:rsidR="00BF2A71" w:rsidRPr="00A61E6C">
              <w:t>3</w:t>
            </w:r>
            <w:r w:rsidRPr="00A61E6C">
              <w:t>.</w:t>
            </w:r>
          </w:p>
        </w:tc>
        <w:tc>
          <w:tcPr>
            <w:tcW w:w="1201" w:type="dxa"/>
            <w:shd w:val="clear" w:color="auto" w:fill="D0CECE" w:themeFill="background2" w:themeFillShade="E6"/>
            <w:vAlign w:val="center"/>
          </w:tcPr>
          <w:p w:rsidR="00512EEC" w:rsidRPr="00A61E6C" w:rsidRDefault="00165929" w:rsidP="00512EEC">
            <w:pPr>
              <w:jc w:val="center"/>
            </w:pPr>
            <w:r w:rsidRPr="00A61E6C">
              <w:t>Vrijednost isplaćenih presuda u 202</w:t>
            </w:r>
            <w:r w:rsidR="00BF2A71" w:rsidRPr="00A61E6C">
              <w:t>3</w:t>
            </w:r>
            <w:r w:rsidR="00512EEC" w:rsidRPr="00A61E6C">
              <w:t>.</w:t>
            </w:r>
            <w:r w:rsidR="002C3FB0" w:rsidRPr="00A61E6C">
              <w:t>*)</w:t>
            </w:r>
          </w:p>
        </w:tc>
        <w:tc>
          <w:tcPr>
            <w:tcW w:w="1071" w:type="dxa"/>
            <w:shd w:val="clear" w:color="auto" w:fill="D0CECE" w:themeFill="background2" w:themeFillShade="E6"/>
            <w:vAlign w:val="center"/>
          </w:tcPr>
          <w:p w:rsidR="00512EEC" w:rsidRPr="00A61E6C" w:rsidRDefault="00512EEC" w:rsidP="00512EEC">
            <w:pPr>
              <w:jc w:val="center"/>
            </w:pPr>
            <w:r w:rsidRPr="00A61E6C">
              <w:t xml:space="preserve">Ciljana </w:t>
            </w:r>
            <w:proofErr w:type="spellStart"/>
            <w:r w:rsidRPr="00A61E6C">
              <w:t>vijednost</w:t>
            </w:r>
            <w:proofErr w:type="spellEnd"/>
            <w:r w:rsidRPr="00A61E6C">
              <w:t xml:space="preserve"> za 202</w:t>
            </w:r>
            <w:r w:rsidR="00BF2A71" w:rsidRPr="00A61E6C">
              <w:t>4</w:t>
            </w:r>
            <w:r w:rsidRPr="00A61E6C">
              <w:t>.</w:t>
            </w:r>
          </w:p>
        </w:tc>
      </w:tr>
      <w:tr w:rsidR="00BF2A71" w:rsidRPr="00A61E6C" w:rsidTr="002C3FB0">
        <w:tc>
          <w:tcPr>
            <w:tcW w:w="1848" w:type="dxa"/>
          </w:tcPr>
          <w:p w:rsidR="00512EEC" w:rsidRPr="00A61E6C" w:rsidRDefault="00512EEC" w:rsidP="00512EEC">
            <w:r w:rsidRPr="00A61E6C">
              <w:t>Udio isplaćenih presuda u ukupnom broju donesenih presuda</w:t>
            </w:r>
          </w:p>
        </w:tc>
        <w:tc>
          <w:tcPr>
            <w:tcW w:w="1462" w:type="dxa"/>
            <w:shd w:val="clear" w:color="auto" w:fill="auto"/>
          </w:tcPr>
          <w:p w:rsidR="002C3FB0" w:rsidRPr="00A61E6C" w:rsidRDefault="00512EEC" w:rsidP="00512EEC">
            <w:pPr>
              <w:jc w:val="both"/>
            </w:pPr>
            <w:r w:rsidRPr="00A61E6C">
              <w:t>Isplata naknade štete</w:t>
            </w:r>
            <w:r w:rsidR="002C3FB0" w:rsidRPr="00A61E6C">
              <w:t xml:space="preserve"> </w:t>
            </w:r>
          </w:p>
          <w:p w:rsidR="00512EEC" w:rsidRPr="00A61E6C" w:rsidRDefault="00512EEC" w:rsidP="00512EEC">
            <w:pPr>
              <w:jc w:val="both"/>
            </w:pPr>
            <w:r w:rsidRPr="00A61E6C">
              <w:t>po sudskim presudama</w:t>
            </w:r>
          </w:p>
        </w:tc>
        <w:tc>
          <w:tcPr>
            <w:tcW w:w="1173" w:type="dxa"/>
            <w:gridSpan w:val="2"/>
          </w:tcPr>
          <w:p w:rsidR="00512EEC" w:rsidRPr="00A61E6C" w:rsidRDefault="00BF2A71" w:rsidP="00512EEC">
            <w:pPr>
              <w:jc w:val="both"/>
              <w:rPr>
                <w:lang w:val="en-US"/>
              </w:rPr>
            </w:pPr>
            <w:r w:rsidRPr="00A61E6C">
              <w:rPr>
                <w:lang w:val="en-US"/>
              </w:rPr>
              <w:t>56</w:t>
            </w:r>
          </w:p>
        </w:tc>
        <w:tc>
          <w:tcPr>
            <w:tcW w:w="1381" w:type="dxa"/>
          </w:tcPr>
          <w:p w:rsidR="00BF2A71" w:rsidRPr="00A61E6C" w:rsidRDefault="00913B68" w:rsidP="00512EEC">
            <w:pPr>
              <w:jc w:val="both"/>
            </w:pPr>
            <w:r w:rsidRPr="00A61E6C">
              <w:t>119.412,69</w:t>
            </w:r>
          </w:p>
          <w:p w:rsidR="00512EEC" w:rsidRPr="00A61E6C" w:rsidRDefault="00BF2A71" w:rsidP="00512EEC">
            <w:pPr>
              <w:jc w:val="both"/>
            </w:pPr>
            <w:r w:rsidRPr="00A61E6C">
              <w:t>EUR</w:t>
            </w:r>
          </w:p>
        </w:tc>
        <w:tc>
          <w:tcPr>
            <w:tcW w:w="1162" w:type="dxa"/>
          </w:tcPr>
          <w:p w:rsidR="00512EEC" w:rsidRPr="00A61E6C" w:rsidRDefault="00BF2A71" w:rsidP="00512EEC">
            <w:pPr>
              <w:jc w:val="both"/>
            </w:pPr>
            <w:r w:rsidRPr="00A61E6C">
              <w:t>4</w:t>
            </w:r>
          </w:p>
        </w:tc>
        <w:tc>
          <w:tcPr>
            <w:tcW w:w="1201" w:type="dxa"/>
          </w:tcPr>
          <w:p w:rsidR="00512EEC" w:rsidRPr="00A61E6C" w:rsidRDefault="00913B68" w:rsidP="00512EEC">
            <w:pPr>
              <w:jc w:val="both"/>
            </w:pPr>
            <w:r w:rsidRPr="00A61E6C">
              <w:t>17.171,15 EUR</w:t>
            </w:r>
          </w:p>
        </w:tc>
        <w:tc>
          <w:tcPr>
            <w:tcW w:w="1071" w:type="dxa"/>
          </w:tcPr>
          <w:p w:rsidR="00512EEC" w:rsidRPr="00A61E6C" w:rsidRDefault="00BF2A71" w:rsidP="00512EEC">
            <w:pPr>
              <w:jc w:val="both"/>
              <w:rPr>
                <w:lang w:val="en-US"/>
              </w:rPr>
            </w:pPr>
            <w:r w:rsidRPr="00A61E6C">
              <w:rPr>
                <w:lang w:val="en-US"/>
              </w:rPr>
              <w:t>0,00</w:t>
            </w:r>
            <w:r w:rsidR="009D32B3" w:rsidRPr="00A61E6C">
              <w:rPr>
                <w:lang w:val="en-US"/>
              </w:rPr>
              <w:t xml:space="preserve"> EUR</w:t>
            </w:r>
          </w:p>
        </w:tc>
      </w:tr>
    </w:tbl>
    <w:p w:rsidR="00512EEC" w:rsidRPr="00A61E6C" w:rsidRDefault="00512EEC" w:rsidP="00C51C46">
      <w:pPr>
        <w:jc w:val="both"/>
      </w:pPr>
    </w:p>
    <w:p w:rsidR="002C3FB0" w:rsidRPr="00A61E6C" w:rsidRDefault="002C3FB0" w:rsidP="00C51C46">
      <w:pPr>
        <w:jc w:val="both"/>
      </w:pPr>
      <w:r w:rsidRPr="00A61E6C">
        <w:t>*) – do kraja 2023 očekuje se na ime sudskih presuda još isplata u ukupnom iznosu od 6,160 EUR te se očekuje da će do kraja 2023. godine sve presude biti isplaćene.</w:t>
      </w:r>
    </w:p>
    <w:p w:rsidR="00512EEC" w:rsidRPr="00A61E6C" w:rsidRDefault="00512EEC" w:rsidP="00C51C46">
      <w:pPr>
        <w:jc w:val="both"/>
      </w:pPr>
    </w:p>
    <w:p w:rsidR="00C51C46" w:rsidRPr="00A61E6C" w:rsidRDefault="00C51C46" w:rsidP="00C51C46">
      <w:pPr>
        <w:jc w:val="both"/>
      </w:pPr>
    </w:p>
    <w:p w:rsidR="00C51C46" w:rsidRPr="00A61E6C" w:rsidRDefault="00C51C46" w:rsidP="00C51C4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A61E6C">
        <w:t>A622122 Programsko financiranje javnih visokih učilišta – Sveučilište Jurja Dobrile u Puli</w:t>
      </w:r>
    </w:p>
    <w:p w:rsidR="00C51C46" w:rsidRPr="00A61E6C" w:rsidRDefault="00C51C46" w:rsidP="00C51C46">
      <w:pPr>
        <w:jc w:val="both"/>
        <w:rPr>
          <w:i/>
        </w:rPr>
      </w:pP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t>Zakonske i druge pravne osnove</w:t>
      </w:r>
    </w:p>
    <w:p w:rsidR="00C51C46" w:rsidRPr="00A61E6C" w:rsidRDefault="00C51C46" w:rsidP="00C51C46">
      <w:pPr>
        <w:jc w:val="both"/>
        <w:rPr>
          <w:i/>
        </w:rPr>
      </w:pPr>
    </w:p>
    <w:p w:rsidR="00C51C46" w:rsidRPr="00A61E6C" w:rsidRDefault="00C51C46" w:rsidP="00C51C46">
      <w:pPr>
        <w:numPr>
          <w:ilvl w:val="0"/>
          <w:numId w:val="8"/>
        </w:numPr>
        <w:tabs>
          <w:tab w:val="num" w:pos="540"/>
        </w:tabs>
        <w:ind w:left="0" w:hanging="357"/>
        <w:jc w:val="both"/>
        <w:rPr>
          <w:rFonts w:cs="Arial"/>
        </w:rPr>
      </w:pPr>
      <w:r w:rsidRPr="00A61E6C">
        <w:rPr>
          <w:rFonts w:cs="Arial"/>
        </w:rPr>
        <w:t xml:space="preserve">Zakon o znanstvenoj djelatnosti i visokom obrazovanju (NN </w:t>
      </w:r>
      <w:r w:rsidRPr="00A61E6C">
        <w:t>123/03,  198/03,   105/04, 174/04, 2/07 - OUSRH, 46/07, 45/09, 63/11, 94/13, 139/13 i 101/14, 60/15, 131/17)</w:t>
      </w:r>
    </w:p>
    <w:p w:rsidR="00C51C46" w:rsidRPr="00A61E6C" w:rsidRDefault="00C51C46" w:rsidP="00C51C46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Style w:val="Hyperlink"/>
          <w:color w:val="auto"/>
        </w:rPr>
      </w:pPr>
      <w:r w:rsidRPr="00A61E6C">
        <w:rPr>
          <w:rFonts w:ascii="Times New Roman" w:hAnsi="Times New Roman"/>
          <w:sz w:val="24"/>
          <w:szCs w:val="24"/>
        </w:rPr>
        <w:t xml:space="preserve">Odluka o programskom financiranju javnih visokih učilišta u Republici Hrvatskoj u akademskim godinama </w:t>
      </w:r>
      <w:r w:rsidRPr="00A61E6C">
        <w:rPr>
          <w:rFonts w:ascii="Times New Roman" w:hAnsi="Times New Roman"/>
          <w:sz w:val="24"/>
          <w:szCs w:val="24"/>
          <w:lang w:bidi="hr-HR"/>
        </w:rPr>
        <w:t>2018./19., 2019./2020., 2020./2021. i 2021./2022. (NN 87/18)</w:t>
      </w:r>
    </w:p>
    <w:p w:rsidR="00C51C46" w:rsidRPr="00A61E6C" w:rsidRDefault="00C51C46" w:rsidP="00C51C46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/>
          <w:sz w:val="24"/>
          <w:szCs w:val="24"/>
          <w:lang w:bidi="hr-HR"/>
        </w:rPr>
        <w:t>Ugovor o programskom financiranju Sveučilišta Jurja Dobrile u Puli u akademskim godinama 2018./19., 2019./2020., 2020./2021. i 2021./2022.</w:t>
      </w:r>
    </w:p>
    <w:p w:rsidR="00C51C46" w:rsidRPr="00A61E6C" w:rsidRDefault="00C51C46" w:rsidP="00C51C46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 w:cs="Times New Roman"/>
          <w:sz w:val="24"/>
          <w:szCs w:val="24"/>
          <w:lang w:bidi="hr-HR"/>
        </w:rPr>
        <w:t>Zakon o osiguravanju kvalitete u znanosti i visokom obrazovanju (NN 45/09)</w:t>
      </w:r>
    </w:p>
    <w:p w:rsidR="00C51C46" w:rsidRPr="00A61E6C" w:rsidRDefault="00C51C46" w:rsidP="00C51C46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Style w:val="Hyperlink"/>
          <w:color w:val="auto"/>
        </w:rPr>
      </w:pPr>
      <w:r w:rsidRPr="00A61E6C">
        <w:rPr>
          <w:rFonts w:ascii="Times New Roman" w:hAnsi="Times New Roman" w:cs="Times New Roman"/>
          <w:sz w:val="24"/>
          <w:szCs w:val="24"/>
        </w:rPr>
        <w:t xml:space="preserve">Pravilnik o sadržaju dopusnice te uvjetima za izdavanje dopusnice za obavljanje djelatnosti visokog obrazovanja, izvođenje studijskog programa i </w:t>
      </w:r>
      <w:proofErr w:type="spellStart"/>
      <w:r w:rsidRPr="00A61E6C">
        <w:rPr>
          <w:rFonts w:ascii="Times New Roman" w:hAnsi="Times New Roman" w:cs="Times New Roman"/>
          <w:sz w:val="24"/>
          <w:szCs w:val="24"/>
        </w:rPr>
        <w:t>reakreditacije</w:t>
      </w:r>
      <w:proofErr w:type="spellEnd"/>
      <w:r w:rsidRPr="00A61E6C">
        <w:rPr>
          <w:rFonts w:ascii="Times New Roman" w:hAnsi="Times New Roman" w:cs="Times New Roman"/>
          <w:sz w:val="24"/>
          <w:szCs w:val="24"/>
        </w:rPr>
        <w:t xml:space="preserve"> visokih učilišta (NN 24/10)</w:t>
      </w:r>
    </w:p>
    <w:p w:rsidR="00656A91" w:rsidRPr="00A61E6C" w:rsidRDefault="00656A91" w:rsidP="00656A91">
      <w:pPr>
        <w:pStyle w:val="ListParagraph"/>
        <w:numPr>
          <w:ilvl w:val="0"/>
          <w:numId w:val="8"/>
        </w:numPr>
        <w:spacing w:after="200" w:line="0" w:lineRule="atLeast"/>
        <w:ind w:left="0"/>
        <w:jc w:val="both"/>
        <w:rPr>
          <w:u w:val="single"/>
        </w:rPr>
      </w:pPr>
      <w:r w:rsidRPr="00A61E6C">
        <w:rPr>
          <w:rFonts w:ascii="Times New Roman" w:hAnsi="Times New Roman" w:cs="Times New Roman"/>
          <w:sz w:val="24"/>
          <w:szCs w:val="24"/>
        </w:rPr>
        <w:t xml:space="preserve">Strategija razvoja Sveučilišta Jurja Dobrile u Puli 2021.-2026., </w:t>
      </w:r>
    </w:p>
    <w:p w:rsidR="00656A91" w:rsidRPr="00A61E6C" w:rsidRDefault="00656A91" w:rsidP="00656A91">
      <w:pPr>
        <w:pStyle w:val="ListParagraph"/>
        <w:spacing w:after="200" w:line="0" w:lineRule="atLeast"/>
        <w:ind w:left="0"/>
        <w:jc w:val="both"/>
        <w:rPr>
          <w:rStyle w:val="Hyperlink"/>
          <w:color w:val="auto"/>
        </w:rPr>
      </w:pPr>
      <w:r w:rsidRPr="00A61E6C">
        <w:rPr>
          <w:rStyle w:val="Hyperlink"/>
          <w:color w:val="auto"/>
        </w:rPr>
        <w:t>https://www.unipu.hr/_news/93569/Strategija%20razvoja%20Sveucilista%202021.%20-%202026..pdf</w:t>
      </w:r>
    </w:p>
    <w:p w:rsidR="00C51C46" w:rsidRPr="00A61E6C" w:rsidRDefault="00C51C46" w:rsidP="00440047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i/>
        </w:rPr>
      </w:pPr>
      <w:r w:rsidRPr="00A61E6C">
        <w:rPr>
          <w:rFonts w:ascii="Times New Roman" w:hAnsi="Times New Roman" w:cs="Arial"/>
          <w:sz w:val="24"/>
          <w:szCs w:val="24"/>
        </w:rPr>
        <w:t>Istraživačka strategija Sveučilišta Jurja Dobrile u Puli 20</w:t>
      </w:r>
      <w:r w:rsidR="008B08D6" w:rsidRPr="00A61E6C">
        <w:rPr>
          <w:rFonts w:ascii="Times New Roman" w:hAnsi="Times New Roman" w:cs="Arial"/>
          <w:sz w:val="24"/>
          <w:szCs w:val="24"/>
        </w:rPr>
        <w:t>21</w:t>
      </w:r>
      <w:r w:rsidRPr="00A61E6C">
        <w:rPr>
          <w:rFonts w:ascii="Times New Roman" w:hAnsi="Times New Roman" w:cs="Arial"/>
          <w:sz w:val="24"/>
          <w:szCs w:val="24"/>
        </w:rPr>
        <w:t>.-202</w:t>
      </w:r>
      <w:r w:rsidR="008B08D6" w:rsidRPr="00A61E6C">
        <w:rPr>
          <w:rFonts w:ascii="Times New Roman" w:hAnsi="Times New Roman" w:cs="Arial"/>
          <w:sz w:val="24"/>
          <w:szCs w:val="24"/>
        </w:rPr>
        <w:t>6</w:t>
      </w:r>
      <w:r w:rsidRPr="00A61E6C">
        <w:rPr>
          <w:rFonts w:ascii="Times New Roman" w:hAnsi="Times New Roman" w:cs="Arial"/>
          <w:sz w:val="24"/>
          <w:szCs w:val="24"/>
        </w:rPr>
        <w:t>.</w:t>
      </w:r>
      <w:r w:rsidR="00DC00A6" w:rsidRPr="00A61E6C">
        <w:rPr>
          <w:rFonts w:ascii="Times New Roman" w:hAnsi="Times New Roman" w:cs="Arial"/>
          <w:sz w:val="24"/>
          <w:szCs w:val="24"/>
        </w:rPr>
        <w:t xml:space="preserve"> </w:t>
      </w:r>
      <w:hyperlink r:id="rId8" w:history="1">
        <w:r w:rsidR="00DC00A6" w:rsidRPr="00A61E6C">
          <w:rPr>
            <w:rStyle w:val="Hyperlink"/>
            <w:rFonts w:ascii="Times New Roman" w:hAnsi="Times New Roman" w:cs="Arial"/>
            <w:color w:val="auto"/>
            <w:sz w:val="24"/>
            <w:szCs w:val="24"/>
          </w:rPr>
          <w:t>https://www.unipu.hr/_download/repository/2021-12-07-Istrazivacka_strategija_Sveucilista_2021-2026.pdf</w:t>
        </w:r>
      </w:hyperlink>
    </w:p>
    <w:p w:rsidR="005A7C1C" w:rsidRPr="00A61E6C" w:rsidRDefault="005A7C1C" w:rsidP="00C51C46">
      <w:pPr>
        <w:jc w:val="both"/>
        <w:rPr>
          <w:i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134"/>
        <w:gridCol w:w="1164"/>
        <w:gridCol w:w="1214"/>
        <w:gridCol w:w="1019"/>
      </w:tblGrid>
      <w:tr w:rsidR="00A61E6C" w:rsidRPr="00A61E6C" w:rsidTr="00455B7C">
        <w:tc>
          <w:tcPr>
            <w:tcW w:w="1980" w:type="dxa"/>
            <w:shd w:val="clear" w:color="auto" w:fill="D0CECE" w:themeFill="background2" w:themeFillShade="E6"/>
          </w:tcPr>
          <w:p w:rsidR="00C51C46" w:rsidRPr="00A61E6C" w:rsidRDefault="00C51C46" w:rsidP="00C51C46">
            <w:pPr>
              <w:jc w:val="both"/>
            </w:pPr>
          </w:p>
          <w:p w:rsidR="00C51C46" w:rsidRPr="00A61E6C" w:rsidRDefault="00C51C46" w:rsidP="00C51C46">
            <w:pPr>
              <w:jc w:val="both"/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Izvršenje 20</w:t>
            </w:r>
            <w:r w:rsidR="00CA1CFF" w:rsidRPr="00A61E6C">
              <w:t>2</w:t>
            </w:r>
            <w:r w:rsidR="00011A5B" w:rsidRPr="00A61E6C">
              <w:t>2</w:t>
            </w:r>
            <w:r w:rsidRPr="00A61E6C">
              <w:t>.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Plan 20</w:t>
            </w:r>
            <w:r w:rsidR="001C6323" w:rsidRPr="00A61E6C">
              <w:t>2</w:t>
            </w:r>
            <w:r w:rsidR="00011A5B" w:rsidRPr="00A61E6C">
              <w:t>3</w:t>
            </w:r>
            <w:r w:rsidRPr="00A61E6C"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Plan 202</w:t>
            </w:r>
            <w:r w:rsidR="00011A5B" w:rsidRPr="00A61E6C">
              <w:t>4</w:t>
            </w:r>
            <w:r w:rsidRPr="00A61E6C">
              <w:t>.</w:t>
            </w:r>
          </w:p>
        </w:tc>
        <w:tc>
          <w:tcPr>
            <w:tcW w:w="1164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Plan 202</w:t>
            </w:r>
            <w:r w:rsidR="00011A5B" w:rsidRPr="00A61E6C">
              <w:t>5</w:t>
            </w:r>
            <w:r w:rsidRPr="00A61E6C">
              <w:t>.</w:t>
            </w:r>
          </w:p>
        </w:tc>
        <w:tc>
          <w:tcPr>
            <w:tcW w:w="1214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Plan 202</w:t>
            </w:r>
            <w:r w:rsidR="00011A5B" w:rsidRPr="00A61E6C">
              <w:t>6</w:t>
            </w:r>
            <w:r w:rsidRPr="00A61E6C">
              <w:t>.</w:t>
            </w:r>
          </w:p>
        </w:tc>
        <w:tc>
          <w:tcPr>
            <w:tcW w:w="101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Indeks 2</w:t>
            </w:r>
            <w:r w:rsidR="00011A5B" w:rsidRPr="00A61E6C">
              <w:t>4</w:t>
            </w:r>
            <w:r w:rsidRPr="00A61E6C">
              <w:t>./</w:t>
            </w:r>
            <w:r w:rsidR="001C6323" w:rsidRPr="00A61E6C">
              <w:t>2</w:t>
            </w:r>
            <w:r w:rsidR="00011A5B" w:rsidRPr="00A61E6C">
              <w:t>3</w:t>
            </w:r>
            <w:r w:rsidRPr="00A61E6C">
              <w:t>.</w:t>
            </w:r>
          </w:p>
        </w:tc>
      </w:tr>
      <w:tr w:rsidR="00455B7C" w:rsidRPr="00A61E6C" w:rsidTr="00455B7C">
        <w:tc>
          <w:tcPr>
            <w:tcW w:w="1980" w:type="dxa"/>
          </w:tcPr>
          <w:p w:rsidR="00455B7C" w:rsidRPr="00A61E6C" w:rsidRDefault="00455B7C" w:rsidP="00455B7C">
            <w:r w:rsidRPr="00A61E6C">
              <w:t>Šifra aktivnosti/ programa</w:t>
            </w:r>
          </w:p>
          <w:p w:rsidR="00455B7C" w:rsidRPr="00A61E6C" w:rsidRDefault="00455B7C" w:rsidP="00455B7C">
            <w:r w:rsidRPr="00A61E6C">
              <w:t>A622122</w:t>
            </w:r>
          </w:p>
          <w:p w:rsidR="00455B7C" w:rsidRPr="00A61E6C" w:rsidRDefault="00455B7C" w:rsidP="00455B7C">
            <w:r w:rsidRPr="00A61E6C">
              <w:t>Programsko financiranje javnih visokih učilišta – Sveučilište Jurja Dobrile u Puli</w:t>
            </w:r>
          </w:p>
          <w:p w:rsidR="00455B7C" w:rsidRPr="00A61E6C" w:rsidRDefault="00455B7C" w:rsidP="00455B7C"/>
        </w:tc>
        <w:tc>
          <w:tcPr>
            <w:tcW w:w="1276" w:type="dxa"/>
            <w:shd w:val="clear" w:color="auto" w:fill="auto"/>
          </w:tcPr>
          <w:p w:rsidR="00455B7C" w:rsidRPr="00A61E6C" w:rsidRDefault="00455B7C" w:rsidP="00455B7C">
            <w:pPr>
              <w:rPr>
                <w:sz w:val="22"/>
                <w:szCs w:val="22"/>
              </w:rPr>
            </w:pPr>
            <w:r w:rsidRPr="00A61E6C">
              <w:rPr>
                <w:sz w:val="22"/>
                <w:szCs w:val="22"/>
              </w:rPr>
              <w:t xml:space="preserve">1.091.587      </w:t>
            </w:r>
          </w:p>
          <w:p w:rsidR="00455B7C" w:rsidRPr="00A61E6C" w:rsidRDefault="00455B7C" w:rsidP="00455B7C">
            <w:pPr>
              <w:rPr>
                <w:sz w:val="22"/>
                <w:szCs w:val="22"/>
                <w:highlight w:val="cyan"/>
              </w:rPr>
            </w:pPr>
            <w:r w:rsidRPr="00A61E6C">
              <w:rPr>
                <w:sz w:val="22"/>
                <w:szCs w:val="22"/>
              </w:rPr>
              <w:t xml:space="preserve">    EUR</w:t>
            </w:r>
          </w:p>
        </w:tc>
        <w:tc>
          <w:tcPr>
            <w:tcW w:w="1275" w:type="dxa"/>
          </w:tcPr>
          <w:p w:rsidR="00455B7C" w:rsidRPr="00A61E6C" w:rsidRDefault="00455B7C" w:rsidP="00455B7C">
            <w:pPr>
              <w:jc w:val="center"/>
              <w:rPr>
                <w:sz w:val="22"/>
                <w:szCs w:val="22"/>
              </w:rPr>
            </w:pPr>
            <w:r w:rsidRPr="00A61E6C">
              <w:rPr>
                <w:sz w:val="22"/>
                <w:szCs w:val="22"/>
              </w:rPr>
              <w:t>1.378.383 EUR</w:t>
            </w:r>
          </w:p>
        </w:tc>
        <w:tc>
          <w:tcPr>
            <w:tcW w:w="1134" w:type="dxa"/>
          </w:tcPr>
          <w:p w:rsidR="00455B7C" w:rsidRPr="00A61E6C" w:rsidRDefault="00455B7C" w:rsidP="00455B7C">
            <w:pPr>
              <w:jc w:val="center"/>
              <w:rPr>
                <w:sz w:val="22"/>
                <w:szCs w:val="22"/>
              </w:rPr>
            </w:pPr>
            <w:r w:rsidRPr="00A61E6C">
              <w:rPr>
                <w:sz w:val="22"/>
                <w:szCs w:val="22"/>
              </w:rPr>
              <w:t>1.317.971 EUR</w:t>
            </w:r>
          </w:p>
        </w:tc>
        <w:tc>
          <w:tcPr>
            <w:tcW w:w="1164" w:type="dxa"/>
          </w:tcPr>
          <w:p w:rsidR="00455B7C" w:rsidRPr="00A61E6C" w:rsidRDefault="00455B7C" w:rsidP="00455B7C">
            <w:pPr>
              <w:jc w:val="center"/>
              <w:rPr>
                <w:sz w:val="22"/>
                <w:szCs w:val="22"/>
              </w:rPr>
            </w:pPr>
            <w:r w:rsidRPr="00A61E6C">
              <w:rPr>
                <w:sz w:val="22"/>
                <w:szCs w:val="22"/>
              </w:rPr>
              <w:t>1.317.971 EUR</w:t>
            </w:r>
          </w:p>
        </w:tc>
        <w:tc>
          <w:tcPr>
            <w:tcW w:w="1214" w:type="dxa"/>
          </w:tcPr>
          <w:p w:rsidR="00455B7C" w:rsidRPr="00A61E6C" w:rsidRDefault="00455B7C" w:rsidP="00455B7C">
            <w:pPr>
              <w:jc w:val="center"/>
              <w:rPr>
                <w:sz w:val="22"/>
                <w:szCs w:val="22"/>
              </w:rPr>
            </w:pPr>
            <w:r w:rsidRPr="00A61E6C">
              <w:rPr>
                <w:sz w:val="22"/>
                <w:szCs w:val="22"/>
              </w:rPr>
              <w:t>1.317.971 EUR</w:t>
            </w:r>
          </w:p>
        </w:tc>
        <w:tc>
          <w:tcPr>
            <w:tcW w:w="1019" w:type="dxa"/>
          </w:tcPr>
          <w:p w:rsidR="00455B7C" w:rsidRPr="00A61E6C" w:rsidRDefault="00455B7C" w:rsidP="00455B7C">
            <w:pPr>
              <w:jc w:val="center"/>
            </w:pPr>
            <w:r w:rsidRPr="00A61E6C">
              <w:t>96</w:t>
            </w:r>
          </w:p>
        </w:tc>
      </w:tr>
    </w:tbl>
    <w:p w:rsidR="00C51C46" w:rsidRPr="00A61E6C" w:rsidRDefault="00C51C46" w:rsidP="00C51C46">
      <w:pPr>
        <w:jc w:val="both"/>
        <w:rPr>
          <w:i/>
        </w:rPr>
      </w:pP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t>Ova aktivnost provodi se sukladno  Programskom ugovoru zaključenom u svibnju 2019.g., od akademske godine 2018/19</w:t>
      </w:r>
      <w:r w:rsidR="00A83F23" w:rsidRPr="00A61E6C">
        <w:rPr>
          <w:i/>
        </w:rPr>
        <w:t>, u 2019/20.  2020/21. i 2021/22.g.</w:t>
      </w:r>
      <w:r w:rsidR="008726CD" w:rsidRPr="00A61E6C">
        <w:rPr>
          <w:i/>
        </w:rPr>
        <w:t xml:space="preserve"> te je </w:t>
      </w:r>
      <w:proofErr w:type="spellStart"/>
      <w:r w:rsidR="008726CD" w:rsidRPr="00A61E6C">
        <w:rPr>
          <w:i/>
        </w:rPr>
        <w:t>priminjenivo</w:t>
      </w:r>
      <w:proofErr w:type="spellEnd"/>
      <w:r w:rsidR="008726CD" w:rsidRPr="00A61E6C">
        <w:rPr>
          <w:i/>
        </w:rPr>
        <w:t xml:space="preserve"> i za 2022/2023.</w:t>
      </w:r>
      <w:r w:rsidR="00011A5B" w:rsidRPr="00A61E6C">
        <w:rPr>
          <w:i/>
        </w:rPr>
        <w:t xml:space="preserve"> i planirano za 2023/2024.</w:t>
      </w: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t>U razdoblju provedbe programskih ugovora očekuje se ostvarenje sljedećeg: ostvarenje razvojnih pomaka u nastavnoj i znanstvenoj djelatnosti u STEM području, osobito projektu razvoja studija medicine te unapređivanju studija u području informacijskih, tehničkih, prirodnih znanosti uz snaženje istraživačkih i umjetničkih kapaciteta te postizanje utvrđenih institucijskih ciljeva, a sve u skladu s realizacijom utvrđenih ciljeva programskog financiranja:</w:t>
      </w:r>
    </w:p>
    <w:p w:rsidR="00C51C46" w:rsidRPr="00A61E6C" w:rsidRDefault="00C51C46" w:rsidP="00C51C46">
      <w:pPr>
        <w:jc w:val="both"/>
        <w:rPr>
          <w:i/>
        </w:rPr>
      </w:pPr>
    </w:p>
    <w:p w:rsidR="00C51C46" w:rsidRPr="00A61E6C" w:rsidRDefault="00C51C46" w:rsidP="00C51C46">
      <w:pPr>
        <w:numPr>
          <w:ilvl w:val="0"/>
          <w:numId w:val="9"/>
        </w:numPr>
        <w:tabs>
          <w:tab w:val="left" w:pos="709"/>
        </w:tabs>
        <w:spacing w:after="120"/>
        <w:ind w:left="709" w:hanging="283"/>
        <w:jc w:val="both"/>
        <w:rPr>
          <w:rFonts w:cs="Times New Roman (Body CS)"/>
          <w:i/>
        </w:rPr>
      </w:pPr>
      <w:r w:rsidRPr="00A61E6C">
        <w:rPr>
          <w:rFonts w:cs="Times New Roman (Body CS)"/>
          <w:i/>
        </w:rPr>
        <w:t xml:space="preserve">Relevantnost u odnosu na sadašnje i buduće potrebe tržišta rada te razvoja gospodarstva i društva, učinkovitost i internacionalizacija visokog obrazovanja </w:t>
      </w:r>
    </w:p>
    <w:p w:rsidR="00C51C46" w:rsidRPr="00A61E6C" w:rsidRDefault="00C51C46" w:rsidP="00C51C46">
      <w:pPr>
        <w:numPr>
          <w:ilvl w:val="0"/>
          <w:numId w:val="9"/>
        </w:numPr>
        <w:tabs>
          <w:tab w:val="left" w:pos="426"/>
        </w:tabs>
        <w:spacing w:after="120"/>
        <w:ind w:left="426" w:firstLine="0"/>
        <w:jc w:val="both"/>
        <w:rPr>
          <w:rFonts w:cs="Times New Roman (Body CS)"/>
          <w:i/>
        </w:rPr>
      </w:pPr>
      <w:r w:rsidRPr="00A61E6C">
        <w:rPr>
          <w:rFonts w:cs="Times New Roman (Body CS)"/>
          <w:i/>
        </w:rPr>
        <w:t>Izvrsnost znanstvenog i umjetničkog rada</w:t>
      </w:r>
    </w:p>
    <w:p w:rsidR="00C51C46" w:rsidRPr="00A61E6C" w:rsidRDefault="00C51C46" w:rsidP="00C51C46">
      <w:pPr>
        <w:numPr>
          <w:ilvl w:val="0"/>
          <w:numId w:val="9"/>
        </w:numPr>
        <w:tabs>
          <w:tab w:val="left" w:pos="426"/>
        </w:tabs>
        <w:spacing w:after="120"/>
        <w:ind w:left="426" w:firstLine="0"/>
        <w:jc w:val="both"/>
        <w:rPr>
          <w:rFonts w:cs="Times New Roman (Body CS)"/>
          <w:i/>
        </w:rPr>
      </w:pPr>
      <w:r w:rsidRPr="00A61E6C">
        <w:rPr>
          <w:rFonts w:cs="Times New Roman (Body CS)"/>
          <w:i/>
        </w:rPr>
        <w:t xml:space="preserve">Znanost, umjetnost i visoko obrazovanje kao pokretači promjena u društvu i gospodarstvu. </w:t>
      </w:r>
    </w:p>
    <w:p w:rsidR="00C51C46" w:rsidRPr="00A61E6C" w:rsidRDefault="00C51C46" w:rsidP="00C51C46">
      <w:pPr>
        <w:jc w:val="both"/>
        <w:rPr>
          <w:i/>
        </w:rPr>
      </w:pP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t>Izračun financijskog plana:</w:t>
      </w:r>
    </w:p>
    <w:p w:rsidR="00C51C46" w:rsidRPr="00A61E6C" w:rsidRDefault="00C51C46" w:rsidP="00C51C46">
      <w:pPr>
        <w:jc w:val="both"/>
        <w:rPr>
          <w:i/>
        </w:rPr>
      </w:pPr>
    </w:p>
    <w:p w:rsidR="00011A5B" w:rsidRPr="00A61E6C" w:rsidRDefault="00C51C46" w:rsidP="00011A5B">
      <w:pPr>
        <w:jc w:val="both"/>
      </w:pPr>
      <w:r w:rsidRPr="00A61E6C">
        <w:rPr>
          <w:i/>
        </w:rPr>
        <w:t xml:space="preserve">Sredstva programskog financiranja planiraju se </w:t>
      </w:r>
      <w:r w:rsidR="00145F9C" w:rsidRPr="00A61E6C">
        <w:rPr>
          <w:i/>
        </w:rPr>
        <w:t>u</w:t>
      </w:r>
      <w:r w:rsidR="00A83F23" w:rsidRPr="00A61E6C">
        <w:rPr>
          <w:i/>
        </w:rPr>
        <w:t xml:space="preserve"> </w:t>
      </w:r>
      <w:r w:rsidRPr="00A61E6C">
        <w:rPr>
          <w:i/>
        </w:rPr>
        <w:t>202</w:t>
      </w:r>
      <w:r w:rsidR="00011A5B" w:rsidRPr="00A61E6C">
        <w:rPr>
          <w:i/>
        </w:rPr>
        <w:t>4</w:t>
      </w:r>
      <w:r w:rsidR="00A83F23" w:rsidRPr="00A61E6C">
        <w:rPr>
          <w:i/>
        </w:rPr>
        <w:t>.</w:t>
      </w:r>
      <w:r w:rsidR="00145F9C" w:rsidRPr="00A61E6C">
        <w:rPr>
          <w:i/>
        </w:rPr>
        <w:t xml:space="preserve">g. u iznosu od </w:t>
      </w:r>
      <w:r w:rsidR="00455B7C" w:rsidRPr="00A61E6C">
        <w:rPr>
          <w:i/>
        </w:rPr>
        <w:t>1.317.971</w:t>
      </w:r>
      <w:r w:rsidR="00145F9C" w:rsidRPr="00A61E6C">
        <w:rPr>
          <w:i/>
        </w:rPr>
        <w:t xml:space="preserve"> EUR, </w:t>
      </w:r>
      <w:r w:rsidR="00EF0DC4" w:rsidRPr="00A61E6C">
        <w:rPr>
          <w:i/>
        </w:rPr>
        <w:t>kao i</w:t>
      </w:r>
      <w:r w:rsidR="00011A5B" w:rsidRPr="00A61E6C">
        <w:rPr>
          <w:i/>
        </w:rPr>
        <w:t xml:space="preserve"> </w:t>
      </w:r>
      <w:r w:rsidR="00145F9C" w:rsidRPr="00A61E6C">
        <w:rPr>
          <w:i/>
        </w:rPr>
        <w:t>u razdoblju 202</w:t>
      </w:r>
      <w:r w:rsidR="00011A5B" w:rsidRPr="00A61E6C">
        <w:rPr>
          <w:i/>
        </w:rPr>
        <w:t>5</w:t>
      </w:r>
      <w:r w:rsidR="00A83F23" w:rsidRPr="00A61E6C">
        <w:rPr>
          <w:i/>
        </w:rPr>
        <w:t>-202</w:t>
      </w:r>
      <w:r w:rsidR="00011A5B" w:rsidRPr="00A61E6C">
        <w:rPr>
          <w:i/>
        </w:rPr>
        <w:t>6</w:t>
      </w:r>
      <w:r w:rsidRPr="00A61E6C">
        <w:rPr>
          <w:i/>
        </w:rPr>
        <w:t>.g. u</w:t>
      </w:r>
      <w:r w:rsidR="00A83F23" w:rsidRPr="00A61E6C">
        <w:rPr>
          <w:i/>
        </w:rPr>
        <w:t xml:space="preserve"> istom iznosu od </w:t>
      </w:r>
      <w:r w:rsidR="00011A5B" w:rsidRPr="00A61E6C">
        <w:rPr>
          <w:i/>
        </w:rPr>
        <w:t>1.</w:t>
      </w:r>
      <w:r w:rsidR="00455B7C" w:rsidRPr="00A61E6C">
        <w:rPr>
          <w:i/>
        </w:rPr>
        <w:t xml:space="preserve"> </w:t>
      </w:r>
      <w:r w:rsidR="00011A5B" w:rsidRPr="00A61E6C">
        <w:rPr>
          <w:i/>
        </w:rPr>
        <w:t>317</w:t>
      </w:r>
      <w:r w:rsidR="00455B7C" w:rsidRPr="00A61E6C">
        <w:rPr>
          <w:i/>
        </w:rPr>
        <w:t>.971</w:t>
      </w:r>
      <w:r w:rsidR="00011A5B" w:rsidRPr="00A61E6C">
        <w:rPr>
          <w:i/>
        </w:rPr>
        <w:t xml:space="preserve"> </w:t>
      </w:r>
      <w:r w:rsidR="00145F9C" w:rsidRPr="00A61E6C">
        <w:rPr>
          <w:i/>
        </w:rPr>
        <w:t>EUR</w:t>
      </w:r>
      <w:r w:rsidR="00A61E6C" w:rsidRPr="00A61E6C">
        <w:rPr>
          <w:i/>
        </w:rPr>
        <w:t>. U navedene iznose uključena je i Potpora umjetničkim studijima u visini od 45.441 EUR godišnje.</w:t>
      </w:r>
    </w:p>
    <w:p w:rsidR="00C51C46" w:rsidRPr="00A61E6C" w:rsidRDefault="00C51C46" w:rsidP="00C51C46">
      <w:pPr>
        <w:ind w:left="640"/>
        <w:jc w:val="both"/>
        <w:rPr>
          <w:i/>
        </w:rPr>
      </w:pPr>
    </w:p>
    <w:p w:rsidR="00C51C46" w:rsidRPr="00A61E6C" w:rsidRDefault="00C51C46" w:rsidP="00C51C46">
      <w:pPr>
        <w:pStyle w:val="ListParagraph"/>
        <w:jc w:val="both"/>
        <w:rPr>
          <w:i/>
        </w:rPr>
      </w:pPr>
    </w:p>
    <w:p w:rsidR="00C51C46" w:rsidRPr="00A61E6C" w:rsidRDefault="00C51C46" w:rsidP="00C51C46">
      <w:pPr>
        <w:pStyle w:val="ListParagraph"/>
        <w:jc w:val="both"/>
        <w:rPr>
          <w:i/>
        </w:rPr>
      </w:pPr>
      <w:r w:rsidRPr="00A61E6C">
        <w:rPr>
          <w:i/>
        </w:rPr>
        <w:t xml:space="preserve">Nastavno su prikazani institucijski ciljevi i rezultati koji </w:t>
      </w:r>
      <w:r w:rsidR="001A283C" w:rsidRPr="00A61E6C">
        <w:rPr>
          <w:i/>
        </w:rPr>
        <w:t>su predviđeni Programskim ugovorom</w:t>
      </w:r>
      <w:r w:rsidRPr="00A61E6C">
        <w:rPr>
          <w:i/>
        </w:rPr>
        <w:t xml:space="preserve"> u predstojećem planskom razdoblju programskog financiranja</w:t>
      </w:r>
      <w:r w:rsidR="008726CD" w:rsidRPr="00A61E6C">
        <w:rPr>
          <w:i/>
        </w:rPr>
        <w:t xml:space="preserve">. </w:t>
      </w:r>
    </w:p>
    <w:tbl>
      <w:tblPr>
        <w:tblStyle w:val="TableGrid"/>
        <w:tblW w:w="9782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134"/>
        <w:gridCol w:w="1134"/>
        <w:gridCol w:w="851"/>
        <w:gridCol w:w="850"/>
        <w:gridCol w:w="851"/>
      </w:tblGrid>
      <w:tr w:rsidR="00A61E6C" w:rsidRPr="00A61E6C" w:rsidTr="00530CEF"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134974" w:rsidRPr="00A61E6C" w:rsidRDefault="00134974" w:rsidP="00530CEF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Pokazatelj rezultata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134974" w:rsidRPr="00A61E6C" w:rsidRDefault="00134974" w:rsidP="00530CEF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Definicija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134974" w:rsidRPr="00A61E6C" w:rsidRDefault="00134974" w:rsidP="00530CEF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Jedinica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134974" w:rsidRPr="00A61E6C" w:rsidRDefault="00134974" w:rsidP="00530CEF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Polazna vrijednost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134974" w:rsidRPr="00A61E6C" w:rsidRDefault="00134974" w:rsidP="00530CEF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Izvor podataka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:rsidR="00134974" w:rsidRPr="00A61E6C" w:rsidRDefault="00134974" w:rsidP="00530CEF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Ciljana vrijednost za 202</w:t>
            </w:r>
            <w:r w:rsidR="00040BC1" w:rsidRPr="00A61E6C">
              <w:rPr>
                <w:sz w:val="20"/>
              </w:rPr>
              <w:t>4</w:t>
            </w:r>
            <w:r w:rsidRPr="00A61E6C">
              <w:rPr>
                <w:sz w:val="20"/>
              </w:rPr>
              <w:t>.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:rsidR="00134974" w:rsidRPr="00A61E6C" w:rsidRDefault="00134974" w:rsidP="00530CEF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Ciljana vrijednost za 202</w:t>
            </w:r>
            <w:r w:rsidR="00040BC1" w:rsidRPr="00A61E6C">
              <w:rPr>
                <w:sz w:val="20"/>
              </w:rPr>
              <w:t>5</w:t>
            </w:r>
            <w:r w:rsidRPr="00A61E6C">
              <w:rPr>
                <w:sz w:val="20"/>
              </w:rPr>
              <w:t>.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134974" w:rsidRPr="00A61E6C" w:rsidRDefault="00134974" w:rsidP="00530CEF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Ciljana vrijednost za 202</w:t>
            </w:r>
            <w:r w:rsidR="00040BC1" w:rsidRPr="00A61E6C">
              <w:rPr>
                <w:sz w:val="20"/>
              </w:rPr>
              <w:t>6</w:t>
            </w:r>
            <w:r w:rsidRPr="00A61E6C">
              <w:rPr>
                <w:sz w:val="20"/>
              </w:rPr>
              <w:t>.</w:t>
            </w:r>
          </w:p>
        </w:tc>
      </w:tr>
      <w:tr w:rsidR="00A61E6C" w:rsidRPr="00A61E6C" w:rsidTr="00530CEF"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134974" w:rsidRPr="00A61E6C" w:rsidRDefault="00134974" w:rsidP="00530CEF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134974" w:rsidRPr="00A61E6C" w:rsidRDefault="00134974" w:rsidP="00530CE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134974" w:rsidRPr="00A61E6C" w:rsidRDefault="00134974" w:rsidP="00530CE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134974" w:rsidRPr="00A61E6C" w:rsidRDefault="00134974" w:rsidP="00530CE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134974" w:rsidRPr="00A61E6C" w:rsidRDefault="00134974" w:rsidP="00530CE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:rsidR="00134974" w:rsidRPr="00A61E6C" w:rsidRDefault="00134974" w:rsidP="00530CE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:rsidR="00134974" w:rsidRPr="00A61E6C" w:rsidRDefault="00134974" w:rsidP="00530CE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:rsidR="00134974" w:rsidRPr="00A61E6C" w:rsidRDefault="00134974" w:rsidP="00530CEF">
            <w:pPr>
              <w:jc w:val="center"/>
              <w:rPr>
                <w:sz w:val="20"/>
              </w:rPr>
            </w:pPr>
          </w:p>
        </w:tc>
      </w:tr>
      <w:tr w:rsidR="00A61E6C" w:rsidRPr="00A61E6C" w:rsidTr="00530CEF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</w:p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Broj prijavljenih standarda zanimanja/usklađenih studijskih programa sa HKO</w:t>
            </w:r>
          </w:p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Usklađenost studijskih programa sa standardima kvalifikacija iz Registra Hrvatskog kvalifikacijskog okvira</w:t>
            </w:r>
          </w:p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studijski program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3441B4" w:rsidP="0047264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Sveučilište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040BC1" w:rsidP="00530CEF">
            <w:pPr>
              <w:jc w:val="center"/>
              <w:rPr>
                <w:rFonts w:cs="Times New Roman (Body CS)"/>
                <w:i/>
              </w:rPr>
            </w:pPr>
            <w:r w:rsidRPr="00A61E6C">
              <w:rPr>
                <w:rFonts w:cs="Times New Roman (Body CS)"/>
                <w:i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3441B4" w:rsidP="00530CEF">
            <w:pPr>
              <w:jc w:val="center"/>
              <w:rPr>
                <w:i/>
              </w:rPr>
            </w:pPr>
            <w:r w:rsidRPr="00A61E6C">
              <w:rPr>
                <w:i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D6666C" w:rsidP="00530CEF">
            <w:pPr>
              <w:jc w:val="center"/>
              <w:rPr>
                <w:i/>
              </w:rPr>
            </w:pPr>
            <w:r w:rsidRPr="00A61E6C">
              <w:rPr>
                <w:i/>
              </w:rPr>
              <w:t>3</w:t>
            </w:r>
          </w:p>
        </w:tc>
      </w:tr>
      <w:tr w:rsidR="00A61E6C" w:rsidRPr="00A61E6C" w:rsidTr="00530CEF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Broj studenata</w:t>
            </w:r>
          </w:p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Udio dolaznih međunarodnih studenata (dolazna mobilnost studenata)</w:t>
            </w:r>
          </w:p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student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801996" w:rsidP="00530CE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Sveučilište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040BC1" w:rsidP="00530CE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040BC1" w:rsidP="00530CEF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7</w:t>
            </w:r>
            <w:r w:rsidR="00801996" w:rsidRPr="00A61E6C">
              <w:rPr>
                <w:i/>
                <w:sz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040BC1" w:rsidP="00530CEF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7</w:t>
            </w:r>
            <w:r w:rsidR="00134974" w:rsidRPr="00A61E6C">
              <w:rPr>
                <w:i/>
                <w:sz w:val="20"/>
              </w:rPr>
              <w:t>0</w:t>
            </w:r>
          </w:p>
        </w:tc>
      </w:tr>
      <w:tr w:rsidR="00A61E6C" w:rsidRPr="00A61E6C" w:rsidTr="00530CEF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Broj znanstvenih autorskih knjiga s međunarodnom recenzijom</w:t>
            </w:r>
          </w:p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Povećanje broja znanstvenih autorskih knjiga s međunarodnom recenzijom</w:t>
            </w:r>
          </w:p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znanstvena autorska knjiga s međunarodnom recenzijom</w:t>
            </w:r>
          </w:p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C61AE0" w:rsidP="00530CE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134974" w:rsidP="00530CE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Sveučilište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C01B16" w:rsidP="00530CEF">
            <w:pPr>
              <w:jc w:val="center"/>
              <w:rPr>
                <w:rFonts w:cs="Times New Roman (Body CS)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0"/>
              </w:rPr>
              <w:t>1</w:t>
            </w:r>
            <w:r w:rsidR="00040BC1" w:rsidRPr="00A61E6C">
              <w:rPr>
                <w:rFonts w:cs="Times New Roman (Body CS)"/>
                <w:i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134974" w:rsidP="00530CEF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1</w:t>
            </w:r>
            <w:r w:rsidR="00040BC1" w:rsidRPr="00A61E6C">
              <w:rPr>
                <w:i/>
                <w:sz w:val="20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74" w:rsidRPr="00A61E6C" w:rsidRDefault="00134974" w:rsidP="00530CEF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1</w:t>
            </w:r>
            <w:r w:rsidR="00600BA7" w:rsidRPr="00A61E6C">
              <w:rPr>
                <w:i/>
                <w:sz w:val="20"/>
              </w:rPr>
              <w:t>9</w:t>
            </w:r>
          </w:p>
        </w:tc>
      </w:tr>
      <w:tr w:rsidR="00A61E6C" w:rsidRPr="00A61E6C" w:rsidTr="00530CEF">
        <w:tblPrEx>
          <w:tblCellMar>
            <w:left w:w="108" w:type="dxa"/>
            <w:right w:w="108" w:type="dxa"/>
          </w:tblCellMar>
        </w:tblPrEx>
        <w:tc>
          <w:tcPr>
            <w:tcW w:w="1560" w:type="dxa"/>
          </w:tcPr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  <w:szCs w:val="21"/>
              </w:rPr>
              <w:t xml:space="preserve">Broj studenata koji su u prethodnoj akademskoj godini stekli </w:t>
            </w:r>
            <w:r w:rsidRPr="00A61E6C">
              <w:rPr>
                <w:i/>
                <w:sz w:val="20"/>
                <w:szCs w:val="21"/>
              </w:rPr>
              <w:lastRenderedPageBreak/>
              <w:t>minimalno 55 ECTS bodova</w:t>
            </w:r>
          </w:p>
        </w:tc>
        <w:tc>
          <w:tcPr>
            <w:tcW w:w="1701" w:type="dxa"/>
          </w:tcPr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lastRenderedPageBreak/>
              <w:t>Uspješnost studiranja</w:t>
            </w:r>
          </w:p>
        </w:tc>
        <w:tc>
          <w:tcPr>
            <w:tcW w:w="1701" w:type="dxa"/>
          </w:tcPr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Broj studenata</w:t>
            </w:r>
          </w:p>
        </w:tc>
        <w:tc>
          <w:tcPr>
            <w:tcW w:w="1134" w:type="dxa"/>
          </w:tcPr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907</w:t>
            </w:r>
          </w:p>
        </w:tc>
        <w:tc>
          <w:tcPr>
            <w:tcW w:w="1134" w:type="dxa"/>
          </w:tcPr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Ured za studente i obrazovne programe</w:t>
            </w: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lastRenderedPageBreak/>
              <w:t>Sveučilišta i MZO</w:t>
            </w:r>
          </w:p>
        </w:tc>
        <w:tc>
          <w:tcPr>
            <w:tcW w:w="851" w:type="dxa"/>
          </w:tcPr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980</w:t>
            </w:r>
          </w:p>
        </w:tc>
        <w:tc>
          <w:tcPr>
            <w:tcW w:w="850" w:type="dxa"/>
          </w:tcPr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1100</w:t>
            </w:r>
          </w:p>
        </w:tc>
        <w:tc>
          <w:tcPr>
            <w:tcW w:w="851" w:type="dxa"/>
          </w:tcPr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1150</w:t>
            </w:r>
          </w:p>
        </w:tc>
      </w:tr>
      <w:tr w:rsidR="00A61E6C" w:rsidRPr="00A61E6C" w:rsidTr="00530CEF">
        <w:tblPrEx>
          <w:tblCellMar>
            <w:left w:w="108" w:type="dxa"/>
            <w:right w:w="108" w:type="dxa"/>
          </w:tblCellMar>
        </w:tblPrEx>
        <w:tc>
          <w:tcPr>
            <w:tcW w:w="1560" w:type="dxa"/>
          </w:tcPr>
          <w:p w:rsidR="00B14B59" w:rsidRPr="00A61E6C" w:rsidRDefault="00B14B59" w:rsidP="00B14B59">
            <w:pPr>
              <w:jc w:val="center"/>
              <w:rPr>
                <w:i/>
                <w:sz w:val="20"/>
                <w:szCs w:val="21"/>
              </w:rPr>
            </w:pPr>
            <w:r w:rsidRPr="00A61E6C">
              <w:rPr>
                <w:i/>
                <w:sz w:val="20"/>
                <w:szCs w:val="21"/>
              </w:rPr>
              <w:t xml:space="preserve">Broj radova objavljenih u časopisima uvedenim u </w:t>
            </w:r>
          </w:p>
          <w:p w:rsidR="00B14B59" w:rsidRPr="00A61E6C" w:rsidRDefault="00B14B59" w:rsidP="00B14B59">
            <w:pPr>
              <w:jc w:val="center"/>
              <w:rPr>
                <w:i/>
                <w:sz w:val="20"/>
                <w:szCs w:val="21"/>
              </w:rPr>
            </w:pPr>
            <w:r w:rsidRPr="00A61E6C">
              <w:rPr>
                <w:i/>
                <w:sz w:val="20"/>
                <w:szCs w:val="21"/>
              </w:rPr>
              <w:t xml:space="preserve">-bazi Web </w:t>
            </w:r>
            <w:proofErr w:type="spellStart"/>
            <w:r w:rsidRPr="00A61E6C">
              <w:rPr>
                <w:i/>
                <w:sz w:val="20"/>
                <w:szCs w:val="21"/>
              </w:rPr>
              <w:t>of</w:t>
            </w:r>
            <w:proofErr w:type="spellEnd"/>
            <w:r w:rsidRPr="00A61E6C">
              <w:rPr>
                <w:i/>
                <w:sz w:val="20"/>
                <w:szCs w:val="21"/>
              </w:rPr>
              <w:t xml:space="preserve"> Science za STEM područja znanosti, </w:t>
            </w:r>
          </w:p>
          <w:p w:rsidR="00B14B59" w:rsidRPr="00A61E6C" w:rsidRDefault="00B14B59" w:rsidP="00B14B59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  <w:szCs w:val="21"/>
              </w:rPr>
              <w:t xml:space="preserve">- broj radova objavljenih u časopisima uvedenim u bazu Web </w:t>
            </w:r>
            <w:proofErr w:type="spellStart"/>
            <w:r w:rsidRPr="00A61E6C">
              <w:rPr>
                <w:i/>
                <w:sz w:val="20"/>
                <w:szCs w:val="21"/>
              </w:rPr>
              <w:t>of</w:t>
            </w:r>
            <w:proofErr w:type="spellEnd"/>
            <w:r w:rsidRPr="00A61E6C">
              <w:rPr>
                <w:i/>
                <w:sz w:val="20"/>
                <w:szCs w:val="21"/>
              </w:rPr>
              <w:t xml:space="preserve"> Science i bazu SCOPUS za društveno, humanističko i interdisciplinarno područje znanosti i umjetnosti (objavljenih tijekom jedne godine)</w:t>
            </w:r>
          </w:p>
        </w:tc>
        <w:tc>
          <w:tcPr>
            <w:tcW w:w="1701" w:type="dxa"/>
          </w:tcPr>
          <w:p w:rsidR="00B14B59" w:rsidRPr="00A61E6C" w:rsidRDefault="00B14B59" w:rsidP="00B14B59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Znanstvena produktivnost</w:t>
            </w:r>
          </w:p>
        </w:tc>
        <w:tc>
          <w:tcPr>
            <w:tcW w:w="1701" w:type="dxa"/>
          </w:tcPr>
          <w:p w:rsidR="00B14B59" w:rsidRPr="00A61E6C" w:rsidRDefault="00B14B59" w:rsidP="00B14B59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Broj radova</w:t>
            </w:r>
          </w:p>
        </w:tc>
        <w:tc>
          <w:tcPr>
            <w:tcW w:w="1134" w:type="dxa"/>
          </w:tcPr>
          <w:p w:rsidR="00B14B59" w:rsidRPr="00A61E6C" w:rsidRDefault="00B14B59" w:rsidP="00B14B59">
            <w:pPr>
              <w:jc w:val="center"/>
              <w:rPr>
                <w:i/>
                <w:sz w:val="20"/>
              </w:rPr>
            </w:pPr>
          </w:p>
          <w:p w:rsidR="0078369E" w:rsidRPr="00A61E6C" w:rsidRDefault="0078369E" w:rsidP="00B14B59">
            <w:pPr>
              <w:jc w:val="center"/>
              <w:rPr>
                <w:i/>
                <w:sz w:val="20"/>
              </w:rPr>
            </w:pPr>
          </w:p>
          <w:p w:rsidR="0078369E" w:rsidRPr="00A61E6C" w:rsidRDefault="0078369E" w:rsidP="00B14B59">
            <w:pPr>
              <w:jc w:val="center"/>
              <w:rPr>
                <w:i/>
                <w:sz w:val="20"/>
              </w:rPr>
            </w:pPr>
          </w:p>
          <w:p w:rsidR="0078369E" w:rsidRPr="00A61E6C" w:rsidRDefault="0078369E" w:rsidP="00B14B59">
            <w:pPr>
              <w:jc w:val="center"/>
              <w:rPr>
                <w:i/>
                <w:sz w:val="20"/>
              </w:rPr>
            </w:pPr>
          </w:p>
          <w:p w:rsidR="0078369E" w:rsidRPr="00A61E6C" w:rsidRDefault="0078369E" w:rsidP="00B14B59">
            <w:pPr>
              <w:jc w:val="center"/>
              <w:rPr>
                <w:i/>
                <w:sz w:val="20"/>
              </w:rPr>
            </w:pPr>
          </w:p>
          <w:p w:rsidR="0078369E" w:rsidRPr="00A61E6C" w:rsidRDefault="0078369E" w:rsidP="00B14B59">
            <w:pPr>
              <w:jc w:val="center"/>
              <w:rPr>
                <w:i/>
                <w:sz w:val="20"/>
              </w:rPr>
            </w:pPr>
          </w:p>
          <w:p w:rsidR="0078369E" w:rsidRPr="00A61E6C" w:rsidRDefault="0078369E" w:rsidP="00B14B59">
            <w:pPr>
              <w:jc w:val="center"/>
              <w:rPr>
                <w:i/>
                <w:sz w:val="20"/>
              </w:rPr>
            </w:pPr>
          </w:p>
          <w:p w:rsidR="0078369E" w:rsidRPr="00A61E6C" w:rsidRDefault="0078369E" w:rsidP="00B14B59">
            <w:pPr>
              <w:jc w:val="center"/>
              <w:rPr>
                <w:i/>
                <w:sz w:val="20"/>
              </w:rPr>
            </w:pPr>
          </w:p>
          <w:p w:rsidR="0078369E" w:rsidRPr="00A61E6C" w:rsidRDefault="0078369E" w:rsidP="00B14B59">
            <w:pPr>
              <w:jc w:val="center"/>
              <w:rPr>
                <w:i/>
                <w:sz w:val="20"/>
              </w:rPr>
            </w:pPr>
          </w:p>
          <w:p w:rsidR="0078369E" w:rsidRPr="00A61E6C" w:rsidRDefault="0078369E" w:rsidP="00B14B59">
            <w:pPr>
              <w:jc w:val="center"/>
              <w:rPr>
                <w:i/>
                <w:sz w:val="20"/>
              </w:rPr>
            </w:pPr>
          </w:p>
          <w:p w:rsidR="0078369E" w:rsidRPr="00A61E6C" w:rsidRDefault="0078369E" w:rsidP="00B14B59">
            <w:pPr>
              <w:jc w:val="center"/>
              <w:rPr>
                <w:i/>
                <w:sz w:val="20"/>
              </w:rPr>
            </w:pPr>
          </w:p>
          <w:p w:rsidR="00B14B59" w:rsidRPr="00A61E6C" w:rsidRDefault="00C51F56" w:rsidP="00B14B59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46</w:t>
            </w:r>
          </w:p>
          <w:p w:rsidR="00B14B59" w:rsidRPr="00A61E6C" w:rsidRDefault="00C51F56" w:rsidP="00B14B59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153</w:t>
            </w:r>
          </w:p>
        </w:tc>
        <w:tc>
          <w:tcPr>
            <w:tcW w:w="1134" w:type="dxa"/>
          </w:tcPr>
          <w:p w:rsidR="00B14B59" w:rsidRPr="00A61E6C" w:rsidRDefault="00B14B59" w:rsidP="00B14B59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Ured za istraživanje i projekte Sveučilišta i MZO</w:t>
            </w:r>
          </w:p>
        </w:tc>
        <w:tc>
          <w:tcPr>
            <w:tcW w:w="851" w:type="dxa"/>
            <w:vAlign w:val="center"/>
          </w:tcPr>
          <w:p w:rsidR="00C51F56" w:rsidRPr="00A61E6C" w:rsidRDefault="00C51F56" w:rsidP="00B14B59">
            <w:pPr>
              <w:jc w:val="center"/>
              <w:rPr>
                <w:rFonts w:cs="Calibri (Body)"/>
                <w:bCs/>
                <w:i/>
                <w:iCs/>
                <w:sz w:val="20"/>
                <w:szCs w:val="20"/>
              </w:rPr>
            </w:pPr>
            <w:r w:rsidRPr="00A61E6C">
              <w:rPr>
                <w:rFonts w:cs="Calibri (Body)"/>
                <w:bCs/>
                <w:i/>
                <w:iCs/>
                <w:sz w:val="20"/>
                <w:szCs w:val="20"/>
              </w:rPr>
              <w:t>65</w:t>
            </w:r>
          </w:p>
          <w:p w:rsidR="00B14B59" w:rsidRPr="00A61E6C" w:rsidRDefault="00C51F56" w:rsidP="00B14B59">
            <w:pPr>
              <w:jc w:val="center"/>
              <w:rPr>
                <w:rFonts w:cs="Calibri (Body)"/>
                <w:bCs/>
                <w:i/>
                <w:iCs/>
                <w:sz w:val="20"/>
              </w:rPr>
            </w:pPr>
            <w:r w:rsidRPr="00A61E6C">
              <w:rPr>
                <w:rFonts w:cs="Calibri (Body)"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850" w:type="dxa"/>
            <w:vAlign w:val="center"/>
          </w:tcPr>
          <w:p w:rsidR="00B14B59" w:rsidRPr="00A61E6C" w:rsidRDefault="00C51F56" w:rsidP="00945C6B">
            <w:pPr>
              <w:rPr>
                <w:rFonts w:cs="Calibri (Body)"/>
                <w:bCs/>
                <w:i/>
                <w:iCs/>
                <w:sz w:val="20"/>
                <w:szCs w:val="20"/>
              </w:rPr>
            </w:pPr>
            <w:r w:rsidRPr="00A61E6C">
              <w:rPr>
                <w:rFonts w:cs="Calibri (Body)"/>
                <w:bCs/>
                <w:i/>
                <w:iCs/>
                <w:sz w:val="20"/>
                <w:szCs w:val="20"/>
              </w:rPr>
              <w:t>70</w:t>
            </w:r>
          </w:p>
          <w:p w:rsidR="00C51F56" w:rsidRPr="00A61E6C" w:rsidRDefault="00C51F56" w:rsidP="00945C6B">
            <w:pPr>
              <w:rPr>
                <w:rFonts w:cs="Calibri (Body)"/>
                <w:bCs/>
                <w:i/>
                <w:iCs/>
                <w:sz w:val="20"/>
              </w:rPr>
            </w:pPr>
            <w:r w:rsidRPr="00A61E6C">
              <w:rPr>
                <w:rFonts w:cs="Calibri (Body)"/>
                <w:bCs/>
                <w:i/>
                <w:iCs/>
                <w:sz w:val="20"/>
              </w:rPr>
              <w:t>140</w:t>
            </w:r>
          </w:p>
        </w:tc>
        <w:tc>
          <w:tcPr>
            <w:tcW w:w="851" w:type="dxa"/>
            <w:vAlign w:val="center"/>
          </w:tcPr>
          <w:p w:rsidR="00B14B59" w:rsidRPr="00A61E6C" w:rsidRDefault="006A7592" w:rsidP="00B14B59">
            <w:pPr>
              <w:jc w:val="center"/>
              <w:rPr>
                <w:rFonts w:cs="Calibri (Body)"/>
                <w:bCs/>
                <w:i/>
                <w:iCs/>
                <w:sz w:val="20"/>
                <w:szCs w:val="20"/>
              </w:rPr>
            </w:pPr>
            <w:r w:rsidRPr="00A61E6C">
              <w:rPr>
                <w:rFonts w:cs="Calibri (Body)"/>
                <w:bCs/>
                <w:i/>
                <w:iCs/>
                <w:sz w:val="20"/>
                <w:szCs w:val="20"/>
              </w:rPr>
              <w:t>73</w:t>
            </w:r>
          </w:p>
          <w:p w:rsidR="00B14B59" w:rsidRPr="00A61E6C" w:rsidRDefault="006A7592" w:rsidP="00B14B59">
            <w:pPr>
              <w:jc w:val="center"/>
              <w:rPr>
                <w:rFonts w:cs="Calibri (Body)"/>
                <w:bCs/>
                <w:i/>
                <w:iCs/>
                <w:sz w:val="20"/>
              </w:rPr>
            </w:pPr>
            <w:r w:rsidRPr="00A61E6C">
              <w:rPr>
                <w:rFonts w:cs="Calibri (Body)"/>
                <w:bCs/>
                <w:i/>
                <w:iCs/>
                <w:sz w:val="20"/>
                <w:szCs w:val="20"/>
              </w:rPr>
              <w:t>150</w:t>
            </w:r>
          </w:p>
        </w:tc>
      </w:tr>
      <w:tr w:rsidR="00A61E6C" w:rsidRPr="00A61E6C" w:rsidTr="00530CEF">
        <w:tblPrEx>
          <w:tblCellMar>
            <w:left w:w="108" w:type="dxa"/>
            <w:right w:w="108" w:type="dxa"/>
          </w:tblCellMar>
        </w:tblPrEx>
        <w:tc>
          <w:tcPr>
            <w:tcW w:w="1560" w:type="dxa"/>
          </w:tcPr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  <w:szCs w:val="14"/>
              </w:rPr>
              <w:t> </w:t>
            </w:r>
            <w:r w:rsidRPr="00A61E6C">
              <w:rPr>
                <w:i/>
                <w:sz w:val="20"/>
                <w:szCs w:val="21"/>
              </w:rPr>
              <w:t>Omjer broja završenih studenata u akademskoj godini i broja studenata upisanih u prvu godinu te akademske godine</w:t>
            </w:r>
          </w:p>
        </w:tc>
        <w:tc>
          <w:tcPr>
            <w:tcW w:w="1701" w:type="dxa"/>
          </w:tcPr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Završnost studija</w:t>
            </w:r>
          </w:p>
        </w:tc>
        <w:tc>
          <w:tcPr>
            <w:tcW w:w="1701" w:type="dxa"/>
          </w:tcPr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Omjer</w:t>
            </w:r>
          </w:p>
        </w:tc>
        <w:tc>
          <w:tcPr>
            <w:tcW w:w="1134" w:type="dxa"/>
          </w:tcPr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0,64</w:t>
            </w:r>
          </w:p>
        </w:tc>
        <w:tc>
          <w:tcPr>
            <w:tcW w:w="1134" w:type="dxa"/>
          </w:tcPr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Ured za studente i obrazovne programe Sveučilišta i MZO</w:t>
            </w:r>
          </w:p>
        </w:tc>
        <w:tc>
          <w:tcPr>
            <w:tcW w:w="851" w:type="dxa"/>
          </w:tcPr>
          <w:p w:rsidR="00040BC1" w:rsidRPr="00A61E6C" w:rsidRDefault="00040BC1" w:rsidP="00040BC1">
            <w:pPr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 xml:space="preserve">     0,70</w:t>
            </w:r>
          </w:p>
        </w:tc>
        <w:tc>
          <w:tcPr>
            <w:tcW w:w="850" w:type="dxa"/>
          </w:tcPr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 xml:space="preserve">     0,76</w:t>
            </w:r>
          </w:p>
        </w:tc>
        <w:tc>
          <w:tcPr>
            <w:tcW w:w="851" w:type="dxa"/>
          </w:tcPr>
          <w:p w:rsidR="00040BC1" w:rsidRPr="00A61E6C" w:rsidRDefault="00040BC1" w:rsidP="00040BC1">
            <w:pPr>
              <w:jc w:val="center"/>
              <w:rPr>
                <w:i/>
                <w:sz w:val="20"/>
              </w:rPr>
            </w:pPr>
          </w:p>
          <w:p w:rsidR="00040BC1" w:rsidRPr="00A61E6C" w:rsidRDefault="00040BC1" w:rsidP="00040BC1">
            <w:pPr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 xml:space="preserve">     0,82</w:t>
            </w:r>
          </w:p>
        </w:tc>
      </w:tr>
    </w:tbl>
    <w:p w:rsidR="00C51C46" w:rsidRPr="00A61E6C" w:rsidRDefault="00C51C46" w:rsidP="00C51C46">
      <w:pPr>
        <w:jc w:val="both"/>
      </w:pPr>
    </w:p>
    <w:p w:rsidR="00C51C46" w:rsidRPr="00A61E6C" w:rsidRDefault="00C51C46" w:rsidP="00C51C4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A61E6C">
        <w:t>A621038 Programi vježbaonica visokih učilišta – Sveučilište Jurja Dobrile u Puli</w:t>
      </w:r>
    </w:p>
    <w:p w:rsidR="00C51C46" w:rsidRPr="00A61E6C" w:rsidRDefault="00C51C46" w:rsidP="00C51C46">
      <w:pPr>
        <w:jc w:val="both"/>
      </w:pP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t>Zakonske i druge pravne osnove</w:t>
      </w:r>
    </w:p>
    <w:p w:rsidR="00C51C46" w:rsidRPr="00A61E6C" w:rsidRDefault="00C51C46" w:rsidP="00C51C46">
      <w:pPr>
        <w:jc w:val="both"/>
        <w:rPr>
          <w:i/>
        </w:rPr>
      </w:pPr>
    </w:p>
    <w:p w:rsidR="00C51C46" w:rsidRPr="00A61E6C" w:rsidRDefault="00C51C46" w:rsidP="00C51C46">
      <w:pPr>
        <w:numPr>
          <w:ilvl w:val="0"/>
          <w:numId w:val="8"/>
        </w:numPr>
        <w:tabs>
          <w:tab w:val="num" w:pos="540"/>
        </w:tabs>
        <w:ind w:left="0" w:hanging="357"/>
        <w:jc w:val="both"/>
        <w:rPr>
          <w:rFonts w:cs="Arial"/>
        </w:rPr>
      </w:pPr>
      <w:r w:rsidRPr="00A61E6C">
        <w:rPr>
          <w:rFonts w:cs="Arial"/>
        </w:rPr>
        <w:t xml:space="preserve">Zakon o znanstvenoj djelatnosti i visokom obrazovanju (NN </w:t>
      </w:r>
      <w:r w:rsidRPr="00A61E6C">
        <w:t>123/03,  198/03,   105/04, 174/04, 2/07 - OUSRH, 46/07, 45/09, 63/11, 94/13, 139/13 i 101/14, 60/15, 131/17)</w:t>
      </w:r>
    </w:p>
    <w:p w:rsidR="00C51C46" w:rsidRPr="00A61E6C" w:rsidRDefault="00C51C46" w:rsidP="00C51C46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 w:cs="Times New Roman"/>
          <w:sz w:val="24"/>
          <w:szCs w:val="24"/>
          <w:lang w:bidi="hr-HR"/>
        </w:rPr>
        <w:t>Zakon o osiguravanju kvalitete u znanosti i visokom obrazovanju (NN 45/09)</w:t>
      </w:r>
    </w:p>
    <w:p w:rsidR="00C51C46" w:rsidRPr="00A61E6C" w:rsidRDefault="00C51C46" w:rsidP="003F1D1F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 w:cs="Times New Roman"/>
          <w:sz w:val="24"/>
          <w:szCs w:val="24"/>
          <w:lang w:bidi="hr-HR"/>
        </w:rPr>
        <w:t>Izvedbeni nastavni planovi i programi</w:t>
      </w:r>
    </w:p>
    <w:p w:rsidR="00C51C46" w:rsidRPr="00A61E6C" w:rsidRDefault="00C51C46" w:rsidP="00C51C46">
      <w:pPr>
        <w:pStyle w:val="ListParagraph"/>
        <w:jc w:val="both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231"/>
        <w:gridCol w:w="1211"/>
        <w:gridCol w:w="1211"/>
        <w:gridCol w:w="1210"/>
        <w:gridCol w:w="1211"/>
        <w:gridCol w:w="1215"/>
      </w:tblGrid>
      <w:tr w:rsidR="00A61E6C" w:rsidRPr="00A61E6C" w:rsidTr="00131B25">
        <w:tc>
          <w:tcPr>
            <w:tcW w:w="1773" w:type="dxa"/>
            <w:shd w:val="clear" w:color="auto" w:fill="D0CECE" w:themeFill="background2" w:themeFillShade="E6"/>
          </w:tcPr>
          <w:p w:rsidR="00C51C46" w:rsidRPr="00A61E6C" w:rsidRDefault="00C51C46" w:rsidP="00C51C46">
            <w:pPr>
              <w:jc w:val="both"/>
            </w:pPr>
          </w:p>
          <w:p w:rsidR="00C51C46" w:rsidRPr="00A61E6C" w:rsidRDefault="00C51C46" w:rsidP="00C51C46">
            <w:pPr>
              <w:jc w:val="both"/>
            </w:pPr>
          </w:p>
        </w:tc>
        <w:tc>
          <w:tcPr>
            <w:tcW w:w="1231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Izvršenje 20</w:t>
            </w:r>
            <w:r w:rsidR="003F1D1F" w:rsidRPr="00A61E6C">
              <w:t>2</w:t>
            </w:r>
            <w:r w:rsidR="00011A5B" w:rsidRPr="00A61E6C">
              <w:t>2</w:t>
            </w:r>
            <w:r w:rsidRPr="00A61E6C">
              <w:t>.</w:t>
            </w:r>
          </w:p>
        </w:tc>
        <w:tc>
          <w:tcPr>
            <w:tcW w:w="1211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Plan 20</w:t>
            </w:r>
            <w:r w:rsidR="00306900" w:rsidRPr="00A61E6C">
              <w:t>2</w:t>
            </w:r>
            <w:r w:rsidR="00011A5B" w:rsidRPr="00A61E6C">
              <w:t>3</w:t>
            </w:r>
            <w:r w:rsidRPr="00A61E6C">
              <w:t>.</w:t>
            </w:r>
          </w:p>
        </w:tc>
        <w:tc>
          <w:tcPr>
            <w:tcW w:w="1211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Plan 202</w:t>
            </w:r>
            <w:r w:rsidR="001A0054" w:rsidRPr="00A61E6C">
              <w:t>3</w:t>
            </w:r>
            <w:r w:rsidRPr="00A61E6C">
              <w:t>.</w:t>
            </w:r>
          </w:p>
        </w:tc>
        <w:tc>
          <w:tcPr>
            <w:tcW w:w="1210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Plan 202</w:t>
            </w:r>
            <w:r w:rsidR="001A0054" w:rsidRPr="00A61E6C">
              <w:t>4</w:t>
            </w:r>
            <w:r w:rsidRPr="00A61E6C">
              <w:t>.</w:t>
            </w:r>
          </w:p>
        </w:tc>
        <w:tc>
          <w:tcPr>
            <w:tcW w:w="1211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Plan 202</w:t>
            </w:r>
            <w:r w:rsidR="001A0054" w:rsidRPr="00A61E6C">
              <w:t>5</w:t>
            </w:r>
            <w:r w:rsidRPr="00A61E6C">
              <w:t>.</w:t>
            </w:r>
          </w:p>
        </w:tc>
        <w:tc>
          <w:tcPr>
            <w:tcW w:w="1215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Indeks 2</w:t>
            </w:r>
            <w:r w:rsidR="00011A5B" w:rsidRPr="00A61E6C">
              <w:t>4</w:t>
            </w:r>
            <w:r w:rsidRPr="00A61E6C">
              <w:t>./</w:t>
            </w:r>
            <w:r w:rsidR="00131B25" w:rsidRPr="00A61E6C">
              <w:t>2</w:t>
            </w:r>
            <w:r w:rsidR="00011A5B" w:rsidRPr="00A61E6C">
              <w:t>3</w:t>
            </w:r>
            <w:r w:rsidR="00131B25" w:rsidRPr="00A61E6C">
              <w:t>.</w:t>
            </w:r>
          </w:p>
        </w:tc>
      </w:tr>
      <w:tr w:rsidR="00131B25" w:rsidRPr="00A61E6C" w:rsidTr="00131B25">
        <w:tc>
          <w:tcPr>
            <w:tcW w:w="1773" w:type="dxa"/>
          </w:tcPr>
          <w:p w:rsidR="00131B25" w:rsidRPr="00A61E6C" w:rsidRDefault="00131B25" w:rsidP="00131B25">
            <w:r w:rsidRPr="00A61E6C">
              <w:t>Šifra aktivnosti/ programa</w:t>
            </w:r>
          </w:p>
          <w:p w:rsidR="00131B25" w:rsidRPr="00A61E6C" w:rsidRDefault="00131B25" w:rsidP="00131B25">
            <w:r w:rsidRPr="00A61E6C">
              <w:t>A621038</w:t>
            </w:r>
          </w:p>
          <w:p w:rsidR="00131B25" w:rsidRPr="00A61E6C" w:rsidRDefault="00131B25" w:rsidP="00131B25">
            <w:r w:rsidRPr="00A61E6C">
              <w:t>Programi vježbaonica visokih učilišta</w:t>
            </w:r>
          </w:p>
        </w:tc>
        <w:tc>
          <w:tcPr>
            <w:tcW w:w="1231" w:type="dxa"/>
            <w:shd w:val="clear" w:color="auto" w:fill="auto"/>
          </w:tcPr>
          <w:p w:rsidR="00131B25" w:rsidRPr="00A61E6C" w:rsidRDefault="006D362B" w:rsidP="005F6650">
            <w:pPr>
              <w:jc w:val="center"/>
              <w:rPr>
                <w:lang w:val="en-US"/>
              </w:rPr>
            </w:pPr>
            <w:r w:rsidRPr="00A61E6C">
              <w:rPr>
                <w:lang w:val="en-US"/>
              </w:rPr>
              <w:t>631 EUR</w:t>
            </w:r>
          </w:p>
        </w:tc>
        <w:tc>
          <w:tcPr>
            <w:tcW w:w="1211" w:type="dxa"/>
          </w:tcPr>
          <w:p w:rsidR="00131B25" w:rsidRPr="00A61E6C" w:rsidRDefault="00011A5B" w:rsidP="005F6650">
            <w:pPr>
              <w:jc w:val="center"/>
            </w:pPr>
            <w:r w:rsidRPr="00A61E6C">
              <w:t>8175</w:t>
            </w:r>
            <w:r w:rsidR="006D362B" w:rsidRPr="00A61E6C">
              <w:t xml:space="preserve"> EUR</w:t>
            </w:r>
          </w:p>
        </w:tc>
        <w:tc>
          <w:tcPr>
            <w:tcW w:w="1211" w:type="dxa"/>
          </w:tcPr>
          <w:p w:rsidR="00131B25" w:rsidRPr="00A61E6C" w:rsidRDefault="00011A5B" w:rsidP="005F6650">
            <w:pPr>
              <w:jc w:val="center"/>
            </w:pPr>
            <w:r w:rsidRPr="00A61E6C">
              <w:t>9.298</w:t>
            </w:r>
            <w:r w:rsidR="006C6983" w:rsidRPr="00A61E6C">
              <w:t xml:space="preserve"> EUR</w:t>
            </w:r>
          </w:p>
        </w:tc>
        <w:tc>
          <w:tcPr>
            <w:tcW w:w="1210" w:type="dxa"/>
          </w:tcPr>
          <w:p w:rsidR="00131B25" w:rsidRPr="00A61E6C" w:rsidRDefault="00011A5B" w:rsidP="005F6650">
            <w:pPr>
              <w:jc w:val="center"/>
            </w:pPr>
            <w:r w:rsidRPr="00A61E6C">
              <w:t xml:space="preserve">9.298 </w:t>
            </w:r>
            <w:r w:rsidR="006C6983" w:rsidRPr="00A61E6C">
              <w:t>EUR</w:t>
            </w:r>
          </w:p>
        </w:tc>
        <w:tc>
          <w:tcPr>
            <w:tcW w:w="1211" w:type="dxa"/>
          </w:tcPr>
          <w:p w:rsidR="00131B25" w:rsidRPr="00A61E6C" w:rsidRDefault="00011A5B" w:rsidP="005F6650">
            <w:pPr>
              <w:jc w:val="center"/>
            </w:pPr>
            <w:r w:rsidRPr="00A61E6C">
              <w:t>9.298</w:t>
            </w:r>
            <w:r w:rsidR="006C6983" w:rsidRPr="00A61E6C">
              <w:t xml:space="preserve"> EUR</w:t>
            </w:r>
          </w:p>
        </w:tc>
        <w:tc>
          <w:tcPr>
            <w:tcW w:w="1215" w:type="dxa"/>
          </w:tcPr>
          <w:p w:rsidR="00131B25" w:rsidRPr="00A61E6C" w:rsidRDefault="00011A5B" w:rsidP="005F6650">
            <w:pPr>
              <w:jc w:val="center"/>
            </w:pPr>
            <w:r w:rsidRPr="00A61E6C">
              <w:t>114</w:t>
            </w:r>
          </w:p>
        </w:tc>
      </w:tr>
    </w:tbl>
    <w:p w:rsidR="006D362B" w:rsidRPr="00A61E6C" w:rsidRDefault="006D362B" w:rsidP="00C51C46">
      <w:pPr>
        <w:jc w:val="both"/>
        <w:rPr>
          <w:i/>
        </w:rPr>
      </w:pP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lastRenderedPageBreak/>
        <w:t xml:space="preserve">Ova aktivnost provodi se svake godine.  </w:t>
      </w: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t>U razdoblju 202</w:t>
      </w:r>
      <w:r w:rsidR="00011A5B" w:rsidRPr="00A61E6C">
        <w:rPr>
          <w:i/>
        </w:rPr>
        <w:t>4</w:t>
      </w:r>
      <w:r w:rsidRPr="00A61E6C">
        <w:rPr>
          <w:i/>
        </w:rPr>
        <w:t>. – 202</w:t>
      </w:r>
      <w:r w:rsidR="00011A5B" w:rsidRPr="00A61E6C">
        <w:rPr>
          <w:i/>
        </w:rPr>
        <w:t>6</w:t>
      </w:r>
      <w:r w:rsidRPr="00A61E6C">
        <w:rPr>
          <w:i/>
        </w:rPr>
        <w:t xml:space="preserve">. </w:t>
      </w:r>
      <w:r w:rsidR="00E246CF" w:rsidRPr="00A61E6C">
        <w:rPr>
          <w:i/>
        </w:rPr>
        <w:t>sredstva</w:t>
      </w:r>
      <w:r w:rsidRPr="00A61E6C">
        <w:rPr>
          <w:i/>
        </w:rPr>
        <w:t xml:space="preserve"> </w:t>
      </w:r>
      <w:proofErr w:type="spellStart"/>
      <w:r w:rsidRPr="00A61E6C">
        <w:rPr>
          <w:i/>
        </w:rPr>
        <w:t>vježbaoničkog</w:t>
      </w:r>
      <w:proofErr w:type="spellEnd"/>
      <w:r w:rsidRPr="00A61E6C">
        <w:rPr>
          <w:i/>
        </w:rPr>
        <w:t xml:space="preserve"> </w:t>
      </w:r>
      <w:r w:rsidR="00E246CF" w:rsidRPr="00A61E6C">
        <w:rPr>
          <w:i/>
        </w:rPr>
        <w:t>rada neće značajnij</w:t>
      </w:r>
      <w:r w:rsidR="00DD777E" w:rsidRPr="00A61E6C">
        <w:rPr>
          <w:i/>
        </w:rPr>
        <w:t>e se m</w:t>
      </w:r>
      <w:r w:rsidR="00E246CF" w:rsidRPr="00A61E6C">
        <w:rPr>
          <w:i/>
        </w:rPr>
        <w:t>i</w:t>
      </w:r>
      <w:r w:rsidR="00DD777E" w:rsidRPr="00A61E6C">
        <w:rPr>
          <w:i/>
        </w:rPr>
        <w:t>jenjati</w:t>
      </w:r>
    </w:p>
    <w:p w:rsidR="00C51C46" w:rsidRPr="00A61E6C" w:rsidRDefault="00C51C46" w:rsidP="00C51C46">
      <w:pPr>
        <w:jc w:val="both"/>
        <w:rPr>
          <w:i/>
        </w:rPr>
      </w:pP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t>Izračun financijskog plana:</w:t>
      </w:r>
    </w:p>
    <w:p w:rsidR="00C51C46" w:rsidRPr="00A61E6C" w:rsidRDefault="00C51C46" w:rsidP="00C51C46">
      <w:pPr>
        <w:pStyle w:val="ListParagraph"/>
        <w:jc w:val="both"/>
        <w:rPr>
          <w:rFonts w:ascii="Times New Roman" w:hAnsi="Times New Roman" w:cs="Times New Roman (Body CS)"/>
          <w:i/>
          <w:sz w:val="24"/>
        </w:rPr>
      </w:pPr>
      <w:r w:rsidRPr="00A61E6C">
        <w:rPr>
          <w:rFonts w:ascii="Times New Roman" w:hAnsi="Times New Roman" w:cs="Times New Roman (Body CS)"/>
          <w:i/>
          <w:sz w:val="24"/>
        </w:rPr>
        <w:t xml:space="preserve">Sredstva za rad vježbaonica planirana su </w:t>
      </w:r>
      <w:r w:rsidR="00AF4A6F" w:rsidRPr="00A61E6C">
        <w:rPr>
          <w:rFonts w:ascii="Times New Roman" w:hAnsi="Times New Roman" w:cs="Times New Roman (Body CS)"/>
          <w:i/>
          <w:sz w:val="24"/>
        </w:rPr>
        <w:t xml:space="preserve">u istoj visini </w:t>
      </w:r>
      <w:r w:rsidRPr="00A61E6C">
        <w:rPr>
          <w:rFonts w:ascii="Times New Roman" w:hAnsi="Times New Roman" w:cs="Times New Roman (Body CS)"/>
          <w:i/>
          <w:sz w:val="24"/>
        </w:rPr>
        <w:t xml:space="preserve">u </w:t>
      </w:r>
      <w:r w:rsidR="00C53D67" w:rsidRPr="00A61E6C">
        <w:rPr>
          <w:rFonts w:ascii="Times New Roman" w:hAnsi="Times New Roman" w:cs="Times New Roman (Body CS)"/>
          <w:i/>
          <w:sz w:val="24"/>
        </w:rPr>
        <w:t xml:space="preserve">tijeku </w:t>
      </w:r>
      <w:r w:rsidRPr="00A61E6C">
        <w:rPr>
          <w:rFonts w:ascii="Times New Roman" w:hAnsi="Times New Roman" w:cs="Times New Roman (Body CS)"/>
          <w:i/>
          <w:sz w:val="24"/>
        </w:rPr>
        <w:t>planskog razdoblja 202</w:t>
      </w:r>
      <w:r w:rsidR="00011A5B" w:rsidRPr="00A61E6C">
        <w:rPr>
          <w:rFonts w:ascii="Times New Roman" w:hAnsi="Times New Roman" w:cs="Times New Roman (Body CS)"/>
          <w:i/>
          <w:sz w:val="24"/>
        </w:rPr>
        <w:t>4</w:t>
      </w:r>
      <w:r w:rsidRPr="00A61E6C">
        <w:rPr>
          <w:rFonts w:ascii="Times New Roman" w:hAnsi="Times New Roman" w:cs="Times New Roman (Body CS)"/>
          <w:i/>
          <w:sz w:val="24"/>
        </w:rPr>
        <w:t>.-202</w:t>
      </w:r>
      <w:r w:rsidR="00011A5B" w:rsidRPr="00A61E6C">
        <w:rPr>
          <w:rFonts w:ascii="Times New Roman" w:hAnsi="Times New Roman" w:cs="Times New Roman (Body CS)"/>
          <w:i/>
          <w:sz w:val="24"/>
        </w:rPr>
        <w:t>6</w:t>
      </w:r>
      <w:r w:rsidRPr="00A61E6C">
        <w:rPr>
          <w:rFonts w:ascii="Times New Roman" w:hAnsi="Times New Roman" w:cs="Times New Roman (Body CS)"/>
          <w:i/>
          <w:sz w:val="24"/>
        </w:rPr>
        <w:t xml:space="preserve">.g. </w:t>
      </w:r>
    </w:p>
    <w:tbl>
      <w:tblPr>
        <w:tblStyle w:val="TableGrid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119"/>
        <w:gridCol w:w="1119"/>
        <w:gridCol w:w="1119"/>
      </w:tblGrid>
      <w:tr w:rsidR="00A61E6C" w:rsidRPr="00A61E6C" w:rsidTr="00C51C46"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Ciljana vrijednost za 202</w:t>
            </w:r>
            <w:r w:rsidR="00040BC1" w:rsidRPr="00A61E6C">
              <w:rPr>
                <w:sz w:val="20"/>
              </w:rPr>
              <w:t>4</w:t>
            </w:r>
            <w:r w:rsidRPr="00A61E6C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Ciljana vrijednost za 202</w:t>
            </w:r>
            <w:r w:rsidR="00040BC1" w:rsidRPr="00A61E6C">
              <w:rPr>
                <w:sz w:val="20"/>
              </w:rPr>
              <w:t>5</w:t>
            </w:r>
            <w:r w:rsidRPr="00A61E6C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Ciljana vrijednost za 202</w:t>
            </w:r>
            <w:r w:rsidR="00040BC1" w:rsidRPr="00A61E6C">
              <w:rPr>
                <w:sz w:val="20"/>
              </w:rPr>
              <w:t>6</w:t>
            </w:r>
            <w:r w:rsidR="00013AE5" w:rsidRPr="00A61E6C">
              <w:rPr>
                <w:sz w:val="20"/>
              </w:rPr>
              <w:t>.</w:t>
            </w:r>
          </w:p>
        </w:tc>
      </w:tr>
      <w:tr w:rsidR="00A61E6C" w:rsidRPr="00A61E6C" w:rsidTr="00C51C46"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rPr>
                <w:sz w:val="20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</w:p>
        </w:tc>
      </w:tr>
      <w:tr w:rsidR="00C51C46" w:rsidRPr="00A61E6C" w:rsidTr="00C51C46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C51C46" w:rsidRPr="00A61E6C" w:rsidRDefault="00C51C46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Isplaćena sredstva za vježbaonice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51C46" w:rsidRPr="00A61E6C" w:rsidRDefault="00C51C46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 xml:space="preserve">Sredstva za rad vježbaonica isplaćuju se po izvješćima o radu mentora 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C51C46" w:rsidRPr="00A61E6C" w:rsidRDefault="00C51C46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Indeks porasta (verižni)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51C46" w:rsidRPr="00A61E6C" w:rsidRDefault="00C51C46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100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51C46" w:rsidRPr="00A61E6C" w:rsidRDefault="00C51C46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 xml:space="preserve">Ministarstvo i Sveučilište 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1C46" w:rsidRPr="00A61E6C" w:rsidRDefault="009E1D1B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10</w:t>
            </w:r>
            <w:r w:rsidR="00040BC1" w:rsidRPr="00A61E6C">
              <w:rPr>
                <w:i/>
                <w:sz w:val="20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51C46" w:rsidRPr="00A61E6C" w:rsidRDefault="009E1D1B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100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51C46" w:rsidRPr="00A61E6C" w:rsidRDefault="00C51C46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10</w:t>
            </w:r>
            <w:r w:rsidR="00DD777E" w:rsidRPr="00A61E6C">
              <w:rPr>
                <w:i/>
                <w:sz w:val="20"/>
              </w:rPr>
              <w:t>0</w:t>
            </w:r>
          </w:p>
        </w:tc>
      </w:tr>
    </w:tbl>
    <w:p w:rsidR="00C51C46" w:rsidRPr="00A61E6C" w:rsidRDefault="00C51C46" w:rsidP="00C51C46">
      <w:pPr>
        <w:jc w:val="both"/>
      </w:pPr>
    </w:p>
    <w:p w:rsidR="00C51C46" w:rsidRPr="00A61E6C" w:rsidRDefault="00C51C46" w:rsidP="00C51C46">
      <w:pPr>
        <w:jc w:val="both"/>
        <w:rPr>
          <w:i/>
        </w:rPr>
      </w:pPr>
    </w:p>
    <w:p w:rsidR="00C51C46" w:rsidRPr="00A61E6C" w:rsidRDefault="00C51C46" w:rsidP="00C51C4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</w:pPr>
      <w:r w:rsidRPr="00A61E6C">
        <w:t>A679095 Redovna djelatnost Sveučilišta u Puli (iz evidencijskih prihoda)</w:t>
      </w:r>
    </w:p>
    <w:p w:rsidR="00C51C46" w:rsidRPr="00A61E6C" w:rsidRDefault="00C51C46" w:rsidP="00C51C46">
      <w:pPr>
        <w:jc w:val="both"/>
        <w:rPr>
          <w:i/>
        </w:rPr>
      </w:pP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t>Zakonske i druge pravne osnove</w:t>
      </w:r>
    </w:p>
    <w:p w:rsidR="00C51C46" w:rsidRPr="00A61E6C" w:rsidRDefault="00C51C46" w:rsidP="00C51C46">
      <w:pPr>
        <w:jc w:val="both"/>
        <w:rPr>
          <w:i/>
        </w:rPr>
      </w:pPr>
    </w:p>
    <w:p w:rsidR="00C51C46" w:rsidRPr="00A61E6C" w:rsidRDefault="00C51C46" w:rsidP="00C51C46">
      <w:pPr>
        <w:numPr>
          <w:ilvl w:val="0"/>
          <w:numId w:val="8"/>
        </w:numPr>
        <w:tabs>
          <w:tab w:val="num" w:pos="540"/>
        </w:tabs>
        <w:ind w:left="0" w:hanging="357"/>
        <w:jc w:val="both"/>
        <w:rPr>
          <w:rFonts w:cs="Arial"/>
        </w:rPr>
      </w:pPr>
      <w:r w:rsidRPr="00A61E6C">
        <w:rPr>
          <w:rFonts w:cs="Arial"/>
        </w:rPr>
        <w:t xml:space="preserve">Zakon o znanstvenoj djelatnosti i visokom obrazovanju (NN </w:t>
      </w:r>
      <w:r w:rsidRPr="00A61E6C">
        <w:t>123/03,  198/03,   105/04, 174/04, 2/07 - OUSRH, 46/07, 45/09, 63/11, 94/13, 139/13 i 101/14, 60/15, 131/17)</w:t>
      </w:r>
    </w:p>
    <w:p w:rsidR="00C51C46" w:rsidRPr="00A61E6C" w:rsidRDefault="00C51C46" w:rsidP="00C51C46">
      <w:pPr>
        <w:numPr>
          <w:ilvl w:val="0"/>
          <w:numId w:val="8"/>
        </w:numPr>
        <w:tabs>
          <w:tab w:val="num" w:pos="540"/>
        </w:tabs>
        <w:ind w:left="0" w:hanging="357"/>
        <w:jc w:val="both"/>
        <w:rPr>
          <w:rFonts w:cs="Arial"/>
        </w:rPr>
      </w:pPr>
      <w:r w:rsidRPr="00A61E6C">
        <w:t>Kolektivni ugovor za znanost i visoko obrazovanje (NN 9/2019)</w:t>
      </w:r>
    </w:p>
    <w:p w:rsidR="00C51C46" w:rsidRPr="00A61E6C" w:rsidRDefault="00C51C46" w:rsidP="00C51C46">
      <w:pPr>
        <w:numPr>
          <w:ilvl w:val="0"/>
          <w:numId w:val="8"/>
        </w:numPr>
        <w:tabs>
          <w:tab w:val="num" w:pos="540"/>
        </w:tabs>
        <w:ind w:left="0" w:hanging="357"/>
        <w:jc w:val="both"/>
        <w:rPr>
          <w:rFonts w:cs="Arial"/>
        </w:rPr>
      </w:pPr>
      <w:r w:rsidRPr="00A61E6C">
        <w:rPr>
          <w:rFonts w:cs="Arial"/>
        </w:rPr>
        <w:t>Zakon o studentskom zboru i drugim studentskim organizacijama (NN 71/07)</w:t>
      </w:r>
    </w:p>
    <w:p w:rsidR="00C51C46" w:rsidRPr="00A61E6C" w:rsidRDefault="00C51C46" w:rsidP="00C51C46">
      <w:pPr>
        <w:numPr>
          <w:ilvl w:val="0"/>
          <w:numId w:val="8"/>
        </w:numPr>
        <w:ind w:left="0"/>
        <w:jc w:val="both"/>
        <w:rPr>
          <w:rStyle w:val="Hyperlink"/>
          <w:color w:val="auto"/>
        </w:rPr>
      </w:pPr>
      <w:r w:rsidRPr="00A61E6C">
        <w:rPr>
          <w:rFonts w:cs="Arial"/>
        </w:rPr>
        <w:t xml:space="preserve">Strategija znanosti, obrazovanja i tehnologije, </w:t>
      </w:r>
      <w:hyperlink r:id="rId9" w:history="1">
        <w:r w:rsidRPr="00A61E6C">
          <w:rPr>
            <w:rStyle w:val="Hyperlink"/>
            <w:rFonts w:cs="Arial"/>
            <w:color w:val="auto"/>
          </w:rPr>
          <w:t>http://narodne-novine.nn.hr/clanci/sluzbeni/2014_10_124_2364.html</w:t>
        </w:r>
      </w:hyperlink>
    </w:p>
    <w:p w:rsidR="00BF0FE6" w:rsidRPr="00A61E6C" w:rsidRDefault="00BF0FE6" w:rsidP="00BF0FE6">
      <w:pPr>
        <w:pStyle w:val="ListParagraph"/>
        <w:numPr>
          <w:ilvl w:val="0"/>
          <w:numId w:val="8"/>
        </w:numPr>
        <w:spacing w:after="200" w:line="0" w:lineRule="atLeast"/>
        <w:ind w:left="0"/>
        <w:jc w:val="both"/>
        <w:rPr>
          <w:u w:val="single"/>
        </w:rPr>
      </w:pPr>
      <w:r w:rsidRPr="00A61E6C">
        <w:rPr>
          <w:rFonts w:ascii="Times New Roman" w:hAnsi="Times New Roman" w:cs="Times New Roman"/>
          <w:sz w:val="24"/>
          <w:szCs w:val="24"/>
        </w:rPr>
        <w:t xml:space="preserve">Strategija razvoja Sveučilišta Jurja Dobrile u Puli 2021.-2026., </w:t>
      </w:r>
    </w:p>
    <w:p w:rsidR="00BF0FE6" w:rsidRPr="00A61E6C" w:rsidRDefault="00BF0FE6" w:rsidP="00BF0FE6">
      <w:pPr>
        <w:pStyle w:val="ListParagraph"/>
        <w:spacing w:after="200" w:line="0" w:lineRule="atLeast"/>
        <w:ind w:left="0"/>
        <w:jc w:val="both"/>
        <w:rPr>
          <w:rStyle w:val="Hyperlink"/>
          <w:color w:val="auto"/>
        </w:rPr>
      </w:pPr>
      <w:r w:rsidRPr="00A61E6C">
        <w:rPr>
          <w:rStyle w:val="Hyperlink"/>
          <w:color w:val="auto"/>
        </w:rPr>
        <w:t>https://www.unipu.hr/_news/93569/Strategija%20razvoja%20Sveucilista%202021.%20-%202026..pdf</w:t>
      </w:r>
    </w:p>
    <w:p w:rsidR="00C51C46" w:rsidRPr="00A61E6C" w:rsidRDefault="00C51C46" w:rsidP="00C51C46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Style w:val="Hyperlink"/>
          <w:color w:val="auto"/>
        </w:rPr>
      </w:pPr>
      <w:r w:rsidRPr="00A61E6C">
        <w:rPr>
          <w:rFonts w:ascii="Times New Roman" w:hAnsi="Times New Roman" w:cs="Arial"/>
          <w:sz w:val="24"/>
          <w:szCs w:val="24"/>
        </w:rPr>
        <w:t>Istraživačka strategija Sveučilišta Jurja Dobrile u Puli 20</w:t>
      </w:r>
      <w:r w:rsidR="00F15555" w:rsidRPr="00A61E6C">
        <w:rPr>
          <w:rFonts w:ascii="Times New Roman" w:hAnsi="Times New Roman" w:cs="Arial"/>
          <w:sz w:val="24"/>
          <w:szCs w:val="24"/>
        </w:rPr>
        <w:t>21</w:t>
      </w:r>
      <w:r w:rsidRPr="00A61E6C">
        <w:rPr>
          <w:rFonts w:ascii="Times New Roman" w:hAnsi="Times New Roman" w:cs="Arial"/>
          <w:sz w:val="24"/>
          <w:szCs w:val="24"/>
        </w:rPr>
        <w:t>16.-202</w:t>
      </w:r>
      <w:r w:rsidR="00F15555" w:rsidRPr="00A61E6C">
        <w:rPr>
          <w:rFonts w:ascii="Times New Roman" w:hAnsi="Times New Roman" w:cs="Arial"/>
          <w:sz w:val="24"/>
          <w:szCs w:val="24"/>
        </w:rPr>
        <w:t>6</w:t>
      </w:r>
      <w:r w:rsidRPr="00A61E6C">
        <w:rPr>
          <w:rFonts w:ascii="Times New Roman" w:hAnsi="Times New Roman" w:cs="Arial"/>
          <w:sz w:val="24"/>
          <w:szCs w:val="24"/>
        </w:rPr>
        <w:t xml:space="preserve">. </w:t>
      </w:r>
    </w:p>
    <w:p w:rsidR="00C51C46" w:rsidRPr="00A61E6C" w:rsidRDefault="00C51C46" w:rsidP="00C51C46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/>
          <w:sz w:val="24"/>
          <w:szCs w:val="24"/>
        </w:rPr>
        <w:t xml:space="preserve">Županijska razvojna strategija Istarske županije do 2020.godine </w:t>
      </w:r>
    </w:p>
    <w:p w:rsidR="00C51C46" w:rsidRPr="00A61E6C" w:rsidRDefault="005C6744" w:rsidP="00C51C46">
      <w:pPr>
        <w:pStyle w:val="ListParagraph"/>
        <w:ind w:hanging="72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C51C46" w:rsidRPr="00A61E6C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http://www.istra-istria.hr/index.php?id=2948</w:t>
        </w:r>
      </w:hyperlink>
    </w:p>
    <w:p w:rsidR="00C51C46" w:rsidRPr="00A61E6C" w:rsidRDefault="00C51C46" w:rsidP="00C51C46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 w:cs="Times New Roman"/>
          <w:sz w:val="24"/>
          <w:szCs w:val="24"/>
        </w:rPr>
        <w:t xml:space="preserve">Strategija obrazovanja Istarske županije (2016.) </w:t>
      </w:r>
      <w:hyperlink r:id="rId11" w:history="1">
        <w:r w:rsidRPr="00A61E6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http://www.istra-istria.hr/fileadmin/dokumenti/Izdvojeno/161221_Strategija_obrazovanja.pdf</w:t>
        </w:r>
      </w:hyperlink>
      <w:r w:rsidRPr="00A61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C46" w:rsidRPr="00A61E6C" w:rsidRDefault="00C51C46" w:rsidP="00C51C46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1E6C">
        <w:rPr>
          <w:rFonts w:ascii="Times New Roman" w:hAnsi="Times New Roman"/>
          <w:sz w:val="24"/>
          <w:szCs w:val="24"/>
        </w:rPr>
        <w:t>Strategija razvoja urbanog područja Pula (201</w:t>
      </w:r>
      <w:r w:rsidR="00CB61AD" w:rsidRPr="00A61E6C">
        <w:rPr>
          <w:rFonts w:ascii="Times New Roman" w:hAnsi="Times New Roman"/>
          <w:sz w:val="24"/>
          <w:szCs w:val="24"/>
        </w:rPr>
        <w:t>7</w:t>
      </w:r>
      <w:r w:rsidRPr="00A61E6C">
        <w:rPr>
          <w:rFonts w:ascii="Times New Roman" w:hAnsi="Times New Roman"/>
          <w:sz w:val="24"/>
          <w:szCs w:val="24"/>
        </w:rPr>
        <w:t xml:space="preserve">.)  </w:t>
      </w:r>
      <w:r w:rsidRPr="00A61E6C">
        <w:rPr>
          <w:rFonts w:ascii="Times New Roman" w:hAnsi="Times New Roman" w:cs="Times New Roman"/>
          <w:sz w:val="24"/>
          <w:szCs w:val="24"/>
        </w:rPr>
        <w:t>http://www.pula.hr/site_media/media/filer_public/d2/a0/d2a02f95-7b02-4bcd-9df3-76401c4847bd/strategija_razvoja_urbanog_podrucja_pula.pdf</w:t>
      </w:r>
    </w:p>
    <w:p w:rsidR="00C51C46" w:rsidRPr="00A61E6C" w:rsidRDefault="00C51C46" w:rsidP="00C51C46">
      <w:pPr>
        <w:pStyle w:val="ListParagraph"/>
        <w:jc w:val="both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82"/>
        <w:gridCol w:w="1176"/>
        <w:gridCol w:w="1257"/>
        <w:gridCol w:w="1226"/>
        <w:gridCol w:w="1176"/>
        <w:gridCol w:w="965"/>
      </w:tblGrid>
      <w:tr w:rsidR="003B1606" w:rsidRPr="00A61E6C" w:rsidTr="006D362B">
        <w:tc>
          <w:tcPr>
            <w:tcW w:w="1980" w:type="dxa"/>
            <w:shd w:val="clear" w:color="auto" w:fill="D0CECE" w:themeFill="background2" w:themeFillShade="E6"/>
          </w:tcPr>
          <w:p w:rsidR="00C51C46" w:rsidRPr="00A61E6C" w:rsidRDefault="00C51C46" w:rsidP="00C51C46">
            <w:pPr>
              <w:jc w:val="both"/>
            </w:pPr>
          </w:p>
          <w:p w:rsidR="00C51C46" w:rsidRPr="00A61E6C" w:rsidRDefault="00C51C46" w:rsidP="00C51C46">
            <w:pPr>
              <w:jc w:val="both"/>
            </w:pPr>
          </w:p>
        </w:tc>
        <w:tc>
          <w:tcPr>
            <w:tcW w:w="1282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Izvršenje 20</w:t>
            </w:r>
            <w:r w:rsidR="00753837" w:rsidRPr="00A61E6C">
              <w:t>2</w:t>
            </w:r>
            <w:r w:rsidR="00A1218E" w:rsidRPr="00A61E6C">
              <w:t>2</w:t>
            </w:r>
            <w:r w:rsidRPr="00A61E6C">
              <w:t>.</w:t>
            </w:r>
          </w:p>
        </w:tc>
        <w:tc>
          <w:tcPr>
            <w:tcW w:w="1176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Plan 20</w:t>
            </w:r>
            <w:r w:rsidR="004A3BDD" w:rsidRPr="00A61E6C">
              <w:t>2</w:t>
            </w:r>
            <w:r w:rsidR="00A1218E" w:rsidRPr="00A61E6C">
              <w:t>3</w:t>
            </w:r>
            <w:r w:rsidRPr="00A61E6C">
              <w:t>.</w:t>
            </w:r>
          </w:p>
        </w:tc>
        <w:tc>
          <w:tcPr>
            <w:tcW w:w="1257" w:type="dxa"/>
            <w:shd w:val="clear" w:color="auto" w:fill="D0CECE" w:themeFill="background2" w:themeFillShade="E6"/>
            <w:vAlign w:val="center"/>
          </w:tcPr>
          <w:p w:rsidR="006D362B" w:rsidRPr="00A61E6C" w:rsidRDefault="00C51C46" w:rsidP="00C51C46">
            <w:pPr>
              <w:jc w:val="center"/>
            </w:pPr>
            <w:r w:rsidRPr="00A61E6C">
              <w:t xml:space="preserve">Plan </w:t>
            </w:r>
          </w:p>
          <w:p w:rsidR="00C51C46" w:rsidRPr="00A61E6C" w:rsidRDefault="00C51C46" w:rsidP="00C51C46">
            <w:pPr>
              <w:jc w:val="center"/>
            </w:pPr>
            <w:r w:rsidRPr="00A61E6C">
              <w:t>202</w:t>
            </w:r>
            <w:r w:rsidR="00A1218E" w:rsidRPr="00A61E6C">
              <w:t>4</w:t>
            </w:r>
            <w:r w:rsidRPr="00A61E6C">
              <w:t>.</w:t>
            </w:r>
          </w:p>
        </w:tc>
        <w:tc>
          <w:tcPr>
            <w:tcW w:w="1226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Plan 202</w:t>
            </w:r>
            <w:r w:rsidR="00A1218E" w:rsidRPr="00A61E6C">
              <w:t>5</w:t>
            </w:r>
            <w:r w:rsidRPr="00A61E6C">
              <w:t>.</w:t>
            </w:r>
          </w:p>
        </w:tc>
        <w:tc>
          <w:tcPr>
            <w:tcW w:w="1176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Plan 202</w:t>
            </w:r>
            <w:r w:rsidR="00A1218E" w:rsidRPr="00A61E6C">
              <w:t>6</w:t>
            </w:r>
            <w:r w:rsidRPr="00A61E6C">
              <w:t>.</w:t>
            </w:r>
          </w:p>
        </w:tc>
        <w:tc>
          <w:tcPr>
            <w:tcW w:w="965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</w:pPr>
            <w:r w:rsidRPr="00A61E6C">
              <w:t>Indeks 2</w:t>
            </w:r>
            <w:r w:rsidR="00A1218E" w:rsidRPr="00A61E6C">
              <w:t>4</w:t>
            </w:r>
            <w:r w:rsidRPr="00A61E6C">
              <w:t>./</w:t>
            </w:r>
            <w:r w:rsidR="00B4413C" w:rsidRPr="00A61E6C">
              <w:t>2</w:t>
            </w:r>
            <w:r w:rsidR="00A1218E" w:rsidRPr="00A61E6C">
              <w:t>3</w:t>
            </w:r>
            <w:r w:rsidRPr="00A61E6C">
              <w:t>.</w:t>
            </w:r>
          </w:p>
        </w:tc>
      </w:tr>
      <w:tr w:rsidR="003B1606" w:rsidRPr="00A61E6C" w:rsidTr="006D362B">
        <w:tc>
          <w:tcPr>
            <w:tcW w:w="1980" w:type="dxa"/>
          </w:tcPr>
          <w:p w:rsidR="00A1218E" w:rsidRPr="00A61E6C" w:rsidRDefault="00A1218E" w:rsidP="00A1218E">
            <w:r w:rsidRPr="00A61E6C">
              <w:t>Šifra aktivnosti/ programa</w:t>
            </w:r>
          </w:p>
          <w:p w:rsidR="00A1218E" w:rsidRPr="00A61E6C" w:rsidRDefault="00A1218E" w:rsidP="00A1218E">
            <w:r w:rsidRPr="00A61E6C">
              <w:t>A679095</w:t>
            </w:r>
          </w:p>
          <w:p w:rsidR="00A1218E" w:rsidRPr="00A61E6C" w:rsidRDefault="00A1218E" w:rsidP="00A1218E">
            <w:r w:rsidRPr="00A61E6C">
              <w:t>Redovna djelatnost Sveučilišta u Puli (iz evidencijskih prihoda)</w:t>
            </w:r>
          </w:p>
        </w:tc>
        <w:tc>
          <w:tcPr>
            <w:tcW w:w="1282" w:type="dxa"/>
            <w:shd w:val="clear" w:color="auto" w:fill="auto"/>
          </w:tcPr>
          <w:p w:rsidR="006D362B" w:rsidRPr="00A61E6C" w:rsidRDefault="006D362B" w:rsidP="00A1218E">
            <w:pPr>
              <w:jc w:val="both"/>
            </w:pPr>
            <w:r w:rsidRPr="00A61E6C">
              <w:t xml:space="preserve"> 2.</w:t>
            </w:r>
            <w:r w:rsidR="005C6744">
              <w:t>434</w:t>
            </w:r>
            <w:r w:rsidR="003B1606">
              <w:t>.283</w:t>
            </w:r>
            <w:r w:rsidRPr="00A61E6C">
              <w:t xml:space="preserve"> </w:t>
            </w:r>
          </w:p>
          <w:p w:rsidR="00A1218E" w:rsidRPr="00A61E6C" w:rsidRDefault="006D362B" w:rsidP="00A1218E">
            <w:pPr>
              <w:jc w:val="both"/>
              <w:rPr>
                <w:highlight w:val="cyan"/>
              </w:rPr>
            </w:pPr>
            <w:r w:rsidRPr="00A61E6C">
              <w:t xml:space="preserve">   EUR</w:t>
            </w:r>
          </w:p>
        </w:tc>
        <w:tc>
          <w:tcPr>
            <w:tcW w:w="1176" w:type="dxa"/>
          </w:tcPr>
          <w:p w:rsidR="00A1218E" w:rsidRPr="00A61E6C" w:rsidRDefault="009B66DF" w:rsidP="00A121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2.836.094</w:t>
            </w:r>
            <w:r w:rsidR="003B1606">
              <w:rPr>
                <w:lang w:val="en-US"/>
              </w:rPr>
              <w:t xml:space="preserve"> </w:t>
            </w:r>
            <w:r w:rsidR="00A1218E" w:rsidRPr="00A61E6C">
              <w:rPr>
                <w:lang w:val="en-US"/>
              </w:rPr>
              <w:t>EUR</w:t>
            </w:r>
          </w:p>
        </w:tc>
        <w:tc>
          <w:tcPr>
            <w:tcW w:w="1257" w:type="dxa"/>
          </w:tcPr>
          <w:p w:rsidR="00A1218E" w:rsidRPr="00A61E6C" w:rsidRDefault="00A1218E" w:rsidP="00A1218E">
            <w:pPr>
              <w:jc w:val="both"/>
              <w:rPr>
                <w:lang w:val="en-US"/>
              </w:rPr>
            </w:pPr>
            <w:r w:rsidRPr="00A61E6C">
              <w:rPr>
                <w:lang w:val="en-US"/>
              </w:rPr>
              <w:t>3.</w:t>
            </w:r>
            <w:r w:rsidR="003B1606">
              <w:rPr>
                <w:lang w:val="en-US"/>
              </w:rPr>
              <w:t xml:space="preserve">074.254 </w:t>
            </w:r>
            <w:r w:rsidRPr="00A61E6C">
              <w:rPr>
                <w:lang w:val="en-US"/>
              </w:rPr>
              <w:t>EUR</w:t>
            </w:r>
          </w:p>
        </w:tc>
        <w:tc>
          <w:tcPr>
            <w:tcW w:w="1226" w:type="dxa"/>
          </w:tcPr>
          <w:p w:rsidR="00A1218E" w:rsidRPr="00A61E6C" w:rsidRDefault="003B1606" w:rsidP="00A1218E">
            <w:pPr>
              <w:jc w:val="both"/>
            </w:pPr>
            <w:r>
              <w:rPr>
                <w:lang w:val="en-US"/>
              </w:rPr>
              <w:t>2.114.694</w:t>
            </w:r>
            <w:r w:rsidR="00A1218E" w:rsidRPr="00A61E6C">
              <w:rPr>
                <w:lang w:val="en-US"/>
              </w:rPr>
              <w:t xml:space="preserve"> EUR</w:t>
            </w:r>
          </w:p>
        </w:tc>
        <w:tc>
          <w:tcPr>
            <w:tcW w:w="1176" w:type="dxa"/>
          </w:tcPr>
          <w:p w:rsidR="00A1218E" w:rsidRPr="00A61E6C" w:rsidRDefault="00A1218E" w:rsidP="00A1218E">
            <w:pPr>
              <w:jc w:val="both"/>
            </w:pPr>
            <w:r w:rsidRPr="00A61E6C">
              <w:rPr>
                <w:lang w:val="en-US"/>
              </w:rPr>
              <w:t>2.</w:t>
            </w:r>
            <w:r w:rsidR="003B1606">
              <w:rPr>
                <w:lang w:val="en-US"/>
              </w:rPr>
              <w:t>052.802</w:t>
            </w:r>
            <w:r w:rsidRPr="00A61E6C">
              <w:rPr>
                <w:lang w:val="en-US"/>
              </w:rPr>
              <w:t xml:space="preserve"> EUR</w:t>
            </w:r>
          </w:p>
        </w:tc>
        <w:tc>
          <w:tcPr>
            <w:tcW w:w="965" w:type="dxa"/>
          </w:tcPr>
          <w:p w:rsidR="00A1218E" w:rsidRPr="00A61E6C" w:rsidRDefault="009B66DF" w:rsidP="00A1218E">
            <w:pPr>
              <w:jc w:val="both"/>
              <w:rPr>
                <w:lang w:val="en-US"/>
              </w:rPr>
            </w:pPr>
            <w:r>
              <w:t>108</w:t>
            </w:r>
          </w:p>
        </w:tc>
      </w:tr>
    </w:tbl>
    <w:p w:rsidR="00861CCD" w:rsidRPr="00A61E6C" w:rsidRDefault="00861CCD" w:rsidP="00C51C46">
      <w:pPr>
        <w:jc w:val="both"/>
        <w:rPr>
          <w:i/>
        </w:rPr>
      </w:pP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t xml:space="preserve">Ova aktivnost provodi se svake godine.  </w:t>
      </w: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t>U razdoblju 202</w:t>
      </w:r>
      <w:r w:rsidR="00C56C95" w:rsidRPr="00A61E6C">
        <w:rPr>
          <w:i/>
        </w:rPr>
        <w:t>4</w:t>
      </w:r>
      <w:r w:rsidRPr="00A61E6C">
        <w:rPr>
          <w:i/>
        </w:rPr>
        <w:t>. – 202</w:t>
      </w:r>
      <w:r w:rsidR="00C56C95" w:rsidRPr="00A61E6C">
        <w:rPr>
          <w:i/>
        </w:rPr>
        <w:t>6</w:t>
      </w:r>
      <w:r w:rsidRPr="00A61E6C">
        <w:rPr>
          <w:i/>
        </w:rPr>
        <w:t xml:space="preserve">. očekuje se ostvarenje ciljeva sukladno Razvojnoj </w:t>
      </w:r>
      <w:r w:rsidR="007A3E1E" w:rsidRPr="00A61E6C">
        <w:rPr>
          <w:i/>
        </w:rPr>
        <w:t>i</w:t>
      </w:r>
      <w:r w:rsidRPr="00A61E6C">
        <w:rPr>
          <w:i/>
        </w:rPr>
        <w:t xml:space="preserve"> Istraživačkoj strategiji Sveučilišta.</w:t>
      </w: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t>Izračun financijskog plana:</w:t>
      </w:r>
    </w:p>
    <w:p w:rsidR="00C51C46" w:rsidRPr="00A61E6C" w:rsidRDefault="00C51C46" w:rsidP="00C51C46">
      <w:pPr>
        <w:pStyle w:val="ListParagraph"/>
        <w:jc w:val="both"/>
        <w:rPr>
          <w:i/>
          <w:iCs/>
        </w:rPr>
      </w:pPr>
      <w:r w:rsidRPr="00A61E6C">
        <w:rPr>
          <w:i/>
        </w:rPr>
        <w:t xml:space="preserve">Plan rashoda redovne djelatnosti Sveučilišta u Puli iz evidencijskih prihoda (izvori 31, 43, 52,61,71 ) iznosi </w:t>
      </w:r>
      <w:r w:rsidR="00A1218E" w:rsidRPr="00A61E6C">
        <w:rPr>
          <w:i/>
        </w:rPr>
        <w:t>3.</w:t>
      </w:r>
      <w:r w:rsidR="00AB4980" w:rsidRPr="00A61E6C">
        <w:rPr>
          <w:i/>
        </w:rPr>
        <w:t>146.578</w:t>
      </w:r>
      <w:r w:rsidR="006E7D38" w:rsidRPr="00A61E6C">
        <w:rPr>
          <w:i/>
        </w:rPr>
        <w:t xml:space="preserve"> EUR</w:t>
      </w:r>
      <w:r w:rsidRPr="00A61E6C">
        <w:rPr>
          <w:i/>
          <w:iCs/>
        </w:rPr>
        <w:t xml:space="preserve"> </w:t>
      </w:r>
      <w:r w:rsidRPr="00A61E6C">
        <w:rPr>
          <w:i/>
        </w:rPr>
        <w:t>za 202</w:t>
      </w:r>
      <w:r w:rsidR="00A1218E" w:rsidRPr="00A61E6C">
        <w:rPr>
          <w:i/>
        </w:rPr>
        <w:t>4</w:t>
      </w:r>
      <w:r w:rsidRPr="00A61E6C">
        <w:rPr>
          <w:i/>
        </w:rPr>
        <w:t xml:space="preserve">.g., </w:t>
      </w:r>
      <w:r w:rsidR="00A1218E" w:rsidRPr="00A61E6C">
        <w:rPr>
          <w:i/>
        </w:rPr>
        <w:t>2.</w:t>
      </w:r>
      <w:r w:rsidR="00AB4980" w:rsidRPr="00A61E6C">
        <w:rPr>
          <w:i/>
        </w:rPr>
        <w:t>136.631</w:t>
      </w:r>
      <w:r w:rsidR="006E7D38" w:rsidRPr="00A61E6C">
        <w:rPr>
          <w:i/>
        </w:rPr>
        <w:t xml:space="preserve"> EUR</w:t>
      </w:r>
      <w:r w:rsidRPr="00A61E6C">
        <w:rPr>
          <w:i/>
          <w:iCs/>
        </w:rPr>
        <w:t xml:space="preserve">  za 202</w:t>
      </w:r>
      <w:r w:rsidR="00A1218E" w:rsidRPr="00A61E6C">
        <w:rPr>
          <w:i/>
          <w:iCs/>
        </w:rPr>
        <w:t>5</w:t>
      </w:r>
      <w:r w:rsidRPr="00A61E6C">
        <w:rPr>
          <w:i/>
          <w:iCs/>
        </w:rPr>
        <w:t xml:space="preserve">.g., </w:t>
      </w:r>
      <w:r w:rsidR="00AB4980" w:rsidRPr="00A61E6C">
        <w:rPr>
          <w:i/>
          <w:iCs/>
        </w:rPr>
        <w:t>2.085.584</w:t>
      </w:r>
      <w:r w:rsidR="006E7D38" w:rsidRPr="00A61E6C">
        <w:rPr>
          <w:i/>
          <w:iCs/>
        </w:rPr>
        <w:t xml:space="preserve"> EUR</w:t>
      </w:r>
      <w:r w:rsidR="00930ADA" w:rsidRPr="00A61E6C">
        <w:rPr>
          <w:i/>
          <w:iCs/>
        </w:rPr>
        <w:t xml:space="preserve"> za 202</w:t>
      </w:r>
      <w:r w:rsidR="00A1218E" w:rsidRPr="00A61E6C">
        <w:rPr>
          <w:i/>
          <w:iCs/>
        </w:rPr>
        <w:t>6</w:t>
      </w:r>
      <w:r w:rsidR="00930ADA" w:rsidRPr="00A61E6C">
        <w:rPr>
          <w:i/>
          <w:iCs/>
        </w:rPr>
        <w:t>.g.</w:t>
      </w:r>
    </w:p>
    <w:p w:rsidR="00B10325" w:rsidRPr="00A61E6C" w:rsidRDefault="00B10325" w:rsidP="00C51C46">
      <w:pPr>
        <w:pStyle w:val="ListParagraph"/>
        <w:jc w:val="both"/>
        <w:rPr>
          <w:i/>
        </w:rPr>
      </w:pPr>
    </w:p>
    <w:p w:rsidR="00C51C46" w:rsidRPr="00A61E6C" w:rsidRDefault="00930ADA" w:rsidP="00C51C46">
      <w:pPr>
        <w:pStyle w:val="ListParagraph"/>
        <w:jc w:val="both"/>
        <w:rPr>
          <w:i/>
        </w:rPr>
      </w:pPr>
      <w:r w:rsidRPr="00A61E6C">
        <w:rPr>
          <w:i/>
        </w:rPr>
        <w:t>Tijekom predstojećeg trogodišnjeg razdoblja</w:t>
      </w:r>
      <w:r w:rsidR="002B7C75" w:rsidRPr="00A61E6C">
        <w:rPr>
          <w:i/>
        </w:rPr>
        <w:t>, završetkom pojedinih aktivnosti, očekuje se smanjenje opsega financijskog plana</w:t>
      </w:r>
      <w:r w:rsidR="00111303" w:rsidRPr="00A61E6C">
        <w:rPr>
          <w:i/>
        </w:rPr>
        <w:t>, osobito uz smanjenje plaća financiranih iz drugih neproračunskih izvora</w:t>
      </w:r>
      <w:r w:rsidR="002B7C75" w:rsidRPr="00A61E6C">
        <w:rPr>
          <w:i/>
        </w:rPr>
        <w:t>.</w:t>
      </w:r>
      <w:r w:rsidR="009119D3" w:rsidRPr="00A61E6C">
        <w:rPr>
          <w:i/>
        </w:rPr>
        <w:t xml:space="preserve"> Iznimka je povećanje rashoda na izvoru 43 u 202</w:t>
      </w:r>
      <w:r w:rsidR="00C56C95" w:rsidRPr="00A61E6C">
        <w:rPr>
          <w:i/>
        </w:rPr>
        <w:t>4</w:t>
      </w:r>
      <w:r w:rsidR="009119D3" w:rsidRPr="00A61E6C">
        <w:rPr>
          <w:i/>
        </w:rPr>
        <w:t>.g. gdje su planirana sredstva za isplatu</w:t>
      </w:r>
      <w:r w:rsidR="00C56C95" w:rsidRPr="00A61E6C">
        <w:rPr>
          <w:i/>
        </w:rPr>
        <w:t xml:space="preserve"> iz prenesenog viška.</w:t>
      </w:r>
    </w:p>
    <w:p w:rsidR="005A74D8" w:rsidRPr="00A61E6C" w:rsidRDefault="005A74D8" w:rsidP="00C51C46">
      <w:pPr>
        <w:pStyle w:val="ListParagraph"/>
        <w:jc w:val="both"/>
        <w:rPr>
          <w:i/>
        </w:rPr>
      </w:pPr>
    </w:p>
    <w:p w:rsidR="005A74D8" w:rsidRPr="00A61E6C" w:rsidRDefault="005A74D8" w:rsidP="00C51C46">
      <w:pPr>
        <w:pStyle w:val="ListParagraph"/>
        <w:jc w:val="both"/>
        <w:rPr>
          <w:i/>
        </w:rPr>
      </w:pPr>
    </w:p>
    <w:tbl>
      <w:tblPr>
        <w:tblStyle w:val="TableGrid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119"/>
        <w:gridCol w:w="1119"/>
        <w:gridCol w:w="1119"/>
      </w:tblGrid>
      <w:tr w:rsidR="00A61E6C" w:rsidRPr="00A61E6C" w:rsidTr="00C51C46"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Ciljana vrijednost za 202</w:t>
            </w:r>
            <w:r w:rsidR="00945C6B" w:rsidRPr="00A61E6C">
              <w:rPr>
                <w:sz w:val="20"/>
              </w:rPr>
              <w:t>4</w:t>
            </w:r>
            <w:r w:rsidRPr="00A61E6C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Ciljana vrijednost za 202</w:t>
            </w:r>
            <w:r w:rsidR="00945C6B" w:rsidRPr="00A61E6C">
              <w:rPr>
                <w:sz w:val="20"/>
              </w:rPr>
              <w:t>5</w:t>
            </w:r>
            <w:r w:rsidRPr="00A61E6C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Ciljana vrijednost za 202</w:t>
            </w:r>
            <w:r w:rsidR="00945C6B" w:rsidRPr="00A61E6C">
              <w:rPr>
                <w:sz w:val="20"/>
              </w:rPr>
              <w:t>6</w:t>
            </w:r>
            <w:r w:rsidRPr="00A61E6C">
              <w:rPr>
                <w:sz w:val="20"/>
              </w:rPr>
              <w:t>.</w:t>
            </w:r>
          </w:p>
        </w:tc>
      </w:tr>
      <w:tr w:rsidR="00A61E6C" w:rsidRPr="00A61E6C" w:rsidTr="00C51C46"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rPr>
                <w:sz w:val="20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</w:tcPr>
          <w:p w:rsidR="00C51C46" w:rsidRPr="00A61E6C" w:rsidRDefault="00C51C46" w:rsidP="00C51C46">
            <w:pPr>
              <w:jc w:val="center"/>
              <w:rPr>
                <w:sz w:val="20"/>
              </w:rPr>
            </w:pPr>
          </w:p>
        </w:tc>
      </w:tr>
      <w:tr w:rsidR="00C51C46" w:rsidRPr="00A61E6C" w:rsidTr="007E33B2">
        <w:tc>
          <w:tcPr>
            <w:tcW w:w="1129" w:type="dxa"/>
            <w:shd w:val="clear" w:color="auto" w:fill="auto"/>
            <w:vAlign w:val="center"/>
          </w:tcPr>
          <w:p w:rsidR="00C51C46" w:rsidRPr="00A61E6C" w:rsidRDefault="00C51C46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 xml:space="preserve">Osigurana sredstva za kontinuitet redovne djelatnosti Sveučilišta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1C46" w:rsidRPr="00A61E6C" w:rsidRDefault="00C51C46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Financiranje redovne djelatnosti Sveučilišta vlastitim i namjenskim prihodima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51C46" w:rsidRPr="00A61E6C" w:rsidRDefault="00C51C46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Indeks porasta</w:t>
            </w:r>
          </w:p>
          <w:p w:rsidR="00C51C46" w:rsidRPr="00A61E6C" w:rsidRDefault="00C51C46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(verižni)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51C46" w:rsidRPr="00A61E6C" w:rsidRDefault="00184D61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100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51C46" w:rsidRPr="00A61E6C" w:rsidRDefault="00C51C46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Sveučilište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51C46" w:rsidRPr="00A61E6C" w:rsidRDefault="00945C6B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94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51C46" w:rsidRPr="00A61E6C" w:rsidRDefault="00184D61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9</w:t>
            </w:r>
            <w:r w:rsidR="00945C6B" w:rsidRPr="00A61E6C">
              <w:rPr>
                <w:i/>
                <w:sz w:val="20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51C46" w:rsidRPr="00A61E6C" w:rsidRDefault="00E10E9D" w:rsidP="00C51C4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9</w:t>
            </w:r>
            <w:r w:rsidR="00184D61" w:rsidRPr="00A61E6C">
              <w:rPr>
                <w:i/>
                <w:sz w:val="20"/>
              </w:rPr>
              <w:t>1</w:t>
            </w:r>
          </w:p>
        </w:tc>
      </w:tr>
    </w:tbl>
    <w:p w:rsidR="00C51C46" w:rsidRPr="00A61E6C" w:rsidRDefault="00C51C46" w:rsidP="00C51C46">
      <w:pPr>
        <w:jc w:val="both"/>
        <w:rPr>
          <w:i/>
        </w:rPr>
      </w:pPr>
    </w:p>
    <w:p w:rsidR="002C1C82" w:rsidRPr="00A61E6C" w:rsidRDefault="002C1C82" w:rsidP="00C51C46">
      <w:pPr>
        <w:jc w:val="both"/>
        <w:rPr>
          <w:i/>
        </w:rPr>
      </w:pPr>
    </w:p>
    <w:p w:rsidR="002C1C82" w:rsidRPr="00A61E6C" w:rsidRDefault="002C1C82" w:rsidP="00C51C46">
      <w:pPr>
        <w:jc w:val="both"/>
        <w:rPr>
          <w:i/>
        </w:rPr>
      </w:pPr>
    </w:p>
    <w:p w:rsidR="002C1C82" w:rsidRPr="00A61E6C" w:rsidRDefault="002C1C82" w:rsidP="00C51C46">
      <w:pPr>
        <w:jc w:val="both"/>
        <w:rPr>
          <w:i/>
        </w:rPr>
      </w:pPr>
    </w:p>
    <w:p w:rsidR="002C1C82" w:rsidRPr="00A61E6C" w:rsidRDefault="002C1C82" w:rsidP="002C1C8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 Bold" w:hAnsi="Times New Roman Bold"/>
          <w:b/>
          <w:bCs/>
          <w:sz w:val="28"/>
        </w:rPr>
      </w:pPr>
      <w:r w:rsidRPr="00A61E6C">
        <w:rPr>
          <w:rFonts w:ascii="Times New Roman Bold" w:hAnsi="Times New Roman Bold"/>
          <w:b/>
          <w:bCs/>
          <w:sz w:val="28"/>
        </w:rPr>
        <w:t>K679084 OP KONKURENTNOST I KOHEZIJA 2014-2020.</w:t>
      </w:r>
    </w:p>
    <w:p w:rsidR="002C1C82" w:rsidRPr="00A61E6C" w:rsidRDefault="002C1C82" w:rsidP="002C1C82">
      <w:pPr>
        <w:jc w:val="both"/>
        <w:rPr>
          <w:i/>
        </w:rPr>
      </w:pPr>
    </w:p>
    <w:p w:rsidR="00621AB4" w:rsidRPr="00A61E6C" w:rsidRDefault="00621AB4" w:rsidP="00C51C46">
      <w:pPr>
        <w:jc w:val="both"/>
        <w:rPr>
          <w:i/>
        </w:rPr>
      </w:pPr>
    </w:p>
    <w:p w:rsidR="00C51C46" w:rsidRPr="00A61E6C" w:rsidRDefault="00C51C46" w:rsidP="00C51C46">
      <w:pPr>
        <w:jc w:val="both"/>
        <w:rPr>
          <w:i/>
        </w:rPr>
      </w:pPr>
      <w:r w:rsidRPr="00A61E6C">
        <w:rPr>
          <w:i/>
        </w:rPr>
        <w:t>Zakonske i druge pravne osnove</w:t>
      </w:r>
    </w:p>
    <w:p w:rsidR="00C51C46" w:rsidRPr="00A61E6C" w:rsidRDefault="00C51C46" w:rsidP="00C51C46">
      <w:pPr>
        <w:jc w:val="both"/>
        <w:rPr>
          <w:i/>
        </w:rPr>
      </w:pPr>
    </w:p>
    <w:p w:rsidR="00C51C46" w:rsidRPr="00A61E6C" w:rsidRDefault="00C51C46" w:rsidP="00C51C46">
      <w:pPr>
        <w:numPr>
          <w:ilvl w:val="0"/>
          <w:numId w:val="8"/>
        </w:numPr>
        <w:tabs>
          <w:tab w:val="num" w:pos="540"/>
        </w:tabs>
        <w:ind w:left="0" w:hanging="357"/>
        <w:jc w:val="both"/>
        <w:rPr>
          <w:rFonts w:cs="Arial"/>
        </w:rPr>
      </w:pPr>
      <w:r w:rsidRPr="00A61E6C">
        <w:rPr>
          <w:rFonts w:cs="Arial"/>
        </w:rPr>
        <w:t xml:space="preserve">Zakon o znanstvenoj djelatnosti i visokom obrazovanju (NN </w:t>
      </w:r>
      <w:r w:rsidRPr="00A61E6C">
        <w:t>123/03,  198/03,   105/04, 174/04, 2/07 - OUSRH, 46/07, 45/09, 63/11, 94/13, 139/13 i 101/14, 60/15, 131/17)</w:t>
      </w:r>
    </w:p>
    <w:p w:rsidR="002644FD" w:rsidRPr="00A61E6C" w:rsidRDefault="002644FD" w:rsidP="002644FD">
      <w:pPr>
        <w:pStyle w:val="ListParagraph"/>
        <w:numPr>
          <w:ilvl w:val="0"/>
          <w:numId w:val="8"/>
        </w:numPr>
        <w:spacing w:after="200" w:line="0" w:lineRule="atLeast"/>
        <w:ind w:left="0"/>
        <w:jc w:val="both"/>
        <w:rPr>
          <w:u w:val="single"/>
        </w:rPr>
      </w:pPr>
      <w:r w:rsidRPr="00A61E6C">
        <w:rPr>
          <w:rFonts w:ascii="Times New Roman" w:hAnsi="Times New Roman" w:cs="Times New Roman"/>
          <w:sz w:val="24"/>
          <w:szCs w:val="24"/>
        </w:rPr>
        <w:t xml:space="preserve">Strategija razvoja Sveučilišta Jurja Dobrile u Puli 2021.-2026., </w:t>
      </w:r>
    </w:p>
    <w:p w:rsidR="002644FD" w:rsidRPr="00A61E6C" w:rsidRDefault="005C6744" w:rsidP="002644FD">
      <w:pPr>
        <w:pStyle w:val="ListParagraph"/>
        <w:spacing w:after="200" w:line="0" w:lineRule="atLeast"/>
        <w:ind w:left="0"/>
        <w:jc w:val="both"/>
        <w:rPr>
          <w:rStyle w:val="Hyperlink"/>
          <w:color w:val="auto"/>
        </w:rPr>
      </w:pPr>
      <w:hyperlink r:id="rId12" w:history="1">
        <w:r w:rsidR="00F66765" w:rsidRPr="00A61E6C">
          <w:rPr>
            <w:rStyle w:val="Hyperlink"/>
            <w:color w:val="auto"/>
          </w:rPr>
          <w:t>https://www.unipu.hr/_news/93569/Strategija%20razvoja%20Sveucilista%202021.%20-%202026..pdf</w:t>
        </w:r>
      </w:hyperlink>
    </w:p>
    <w:p w:rsidR="00F66765" w:rsidRPr="00A61E6C" w:rsidRDefault="00F66765" w:rsidP="00F66765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61E6C">
        <w:rPr>
          <w:rFonts w:ascii="Times New Roman" w:hAnsi="Times New Roman" w:cs="Arial"/>
          <w:sz w:val="24"/>
          <w:szCs w:val="24"/>
        </w:rPr>
        <w:t xml:space="preserve">Istraživačka strategija Sveučilišta Jurja Dobrile u Puli 2016.-2020. </w:t>
      </w:r>
      <w:hyperlink r:id="rId13" w:history="1">
        <w:r w:rsidRPr="00A61E6C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http://www.unipu.hr/uploads/media/Istrazivacka_strategija_SJD_2016-2020_01.pdf</w:t>
        </w:r>
      </w:hyperlink>
      <w:r w:rsidRPr="00A61E6C">
        <w:rPr>
          <w:rFonts w:ascii="Times New Roman" w:hAnsi="Times New Roman"/>
          <w:sz w:val="24"/>
          <w:szCs w:val="24"/>
        </w:rPr>
        <w:t xml:space="preserve"> i dopune 2018.-2022.</w:t>
      </w:r>
    </w:p>
    <w:p w:rsidR="00C51C46" w:rsidRPr="00A61E6C" w:rsidRDefault="00C51C46" w:rsidP="00C51C46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 w:cs="Times New Roman"/>
          <w:sz w:val="24"/>
          <w:szCs w:val="24"/>
        </w:rPr>
        <w:t>Sporazum o partnerstvu između Republike Hrvatske i Europske komisije za korištenje Europskih strukturnih i investicijskih fondova za rast i radna mjesta u razdoblju 2014.-2020., (listopad 2014.) http://www.esf.hr/wordpress/wp-content/uploads/2015/02/GLAVNI-DOKUMENT_Sporazum_o_partnerstvu_HR.pdf</w:t>
      </w:r>
    </w:p>
    <w:p w:rsidR="00C51C46" w:rsidRPr="00A61E6C" w:rsidRDefault="00C51C46" w:rsidP="00C51C46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 w:cs="Times New Roman"/>
          <w:sz w:val="24"/>
          <w:szCs w:val="24"/>
        </w:rPr>
        <w:t xml:space="preserve">Operativni program „Konkurentnost i kohezija“ 2014͘-2020., (12. prosinac 2015.) </w:t>
      </w:r>
      <w:hyperlink r:id="rId14" w:history="1">
        <w:r w:rsidRPr="00A61E6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http://www.strukturnifondovi.hr/op-konkurentnost-i-kohezija-2014-2020-779</w:t>
        </w:r>
      </w:hyperlink>
    </w:p>
    <w:p w:rsidR="00C51C46" w:rsidRPr="00A61E6C" w:rsidRDefault="00C51C46" w:rsidP="00C51C46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/>
          <w:sz w:val="24"/>
          <w:szCs w:val="24"/>
        </w:rPr>
        <w:t>Modernizacija, unaprjeđenje i proširenje infrastrukture studentskog smještaja za studente u nepovoljnom položaju/Operativni program «Konkurentnost i kohezija»</w:t>
      </w:r>
    </w:p>
    <w:p w:rsidR="00233F3E" w:rsidRPr="00A61E6C" w:rsidRDefault="00C51C46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 w:cs="Arial"/>
          <w:sz w:val="24"/>
          <w:szCs w:val="24"/>
        </w:rPr>
        <w:lastRenderedPageBreak/>
        <w:t xml:space="preserve">Ugovor </w:t>
      </w:r>
      <w:r w:rsidRPr="00A61E6C">
        <w:rPr>
          <w:rFonts w:ascii="Times New Roman" w:hAnsi="Times New Roman"/>
          <w:sz w:val="24"/>
          <w:szCs w:val="24"/>
          <w:lang w:bidi="hr-HR"/>
        </w:rPr>
        <w:t xml:space="preserve"> o dodjeli bespovratnih sredstava između Sveučilišta u Puli i MRRFEU i SAFU</w:t>
      </w:r>
    </w:p>
    <w:p w:rsidR="00233F3E" w:rsidRPr="00A61E6C" w:rsidRDefault="00233F3E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/>
          <w:sz w:val="24"/>
        </w:rPr>
        <w:t>Poziv za odabir područja za provedbu mehanizma</w:t>
      </w:r>
      <w:r w:rsidRPr="00A61E6C">
        <w:rPr>
          <w:rFonts w:ascii="Times New Roman" w:hAnsi="Times New Roman" w:cs="Times New Roman"/>
          <w:sz w:val="24"/>
        </w:rPr>
        <w:t xml:space="preserve"> </w:t>
      </w:r>
      <w:r w:rsidRPr="00A61E6C">
        <w:rPr>
          <w:rFonts w:ascii="Times New Roman" w:hAnsi="Times New Roman"/>
          <w:sz w:val="24"/>
        </w:rPr>
        <w:t xml:space="preserve">integriranih teritorijalnih ulaganja (ITU mehanizam) Ministarstva regionalnog razvoja i EU fondova iz sedam prioritetnih osi u okviru  Operativnog programa «Konkurentnost i kohezija» </w:t>
      </w:r>
    </w:p>
    <w:p w:rsidR="00233F3E" w:rsidRPr="00A61E6C" w:rsidRDefault="00233F3E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/>
          <w:sz w:val="24"/>
        </w:rPr>
        <w:t xml:space="preserve">Poziv «Obnova </w:t>
      </w:r>
      <w:proofErr w:type="spellStart"/>
      <w:r w:rsidRPr="00A61E6C">
        <w:rPr>
          <w:rFonts w:ascii="Times New Roman" w:hAnsi="Times New Roman"/>
          <w:sz w:val="24"/>
        </w:rPr>
        <w:t>brownfield</w:t>
      </w:r>
      <w:proofErr w:type="spellEnd"/>
      <w:r w:rsidRPr="00A61E6C">
        <w:rPr>
          <w:rFonts w:ascii="Times New Roman" w:hAnsi="Times New Roman"/>
          <w:sz w:val="24"/>
        </w:rPr>
        <w:t xml:space="preserve"> lokacija u urbanom području Pula» u okviru SC 6e2, MRRFEU i ITU PT Pula</w:t>
      </w:r>
    </w:p>
    <w:p w:rsidR="00233F3E" w:rsidRPr="00A61E6C" w:rsidRDefault="00233F3E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/>
          <w:sz w:val="24"/>
        </w:rPr>
        <w:t xml:space="preserve">Strategija razvoja urbanog područja Pula (2017.)  </w:t>
      </w:r>
    </w:p>
    <w:p w:rsidR="00083A74" w:rsidRPr="00A61E6C" w:rsidRDefault="00083A74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/>
          <w:sz w:val="24"/>
        </w:rPr>
        <w:t>Europa 2020.</w:t>
      </w:r>
    </w:p>
    <w:p w:rsidR="00083A74" w:rsidRPr="00A61E6C" w:rsidRDefault="00083A74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cs="Arial"/>
        </w:rPr>
        <w:t xml:space="preserve">Strategija znanosti, obrazovanja i tehnologije, </w:t>
      </w:r>
      <w:hyperlink r:id="rId15" w:history="1">
        <w:r w:rsidRPr="00A61E6C">
          <w:rPr>
            <w:rStyle w:val="Hyperlink"/>
            <w:rFonts w:cs="Arial"/>
            <w:color w:val="auto"/>
          </w:rPr>
          <w:t>http://narodne-novine.nn.hr/clanci/sluzbeni/2014_10_124_2364.html</w:t>
        </w:r>
      </w:hyperlink>
    </w:p>
    <w:p w:rsidR="00083A74" w:rsidRPr="00A61E6C" w:rsidRDefault="00083A74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 w:cs="Times New Roman"/>
          <w:sz w:val="24"/>
          <w:szCs w:val="24"/>
        </w:rPr>
        <w:t xml:space="preserve">Plan razvoja istraživačke i inovacijske infrastrukture u RH </w:t>
      </w:r>
    </w:p>
    <w:p w:rsidR="009A18D0" w:rsidRPr="00A61E6C" w:rsidRDefault="009A18D0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 w:cs="Times New Roman"/>
          <w:sz w:val="24"/>
          <w:szCs w:val="24"/>
        </w:rPr>
        <w:t>Strategija poticanja inovacija RH 2014.-2020.</w:t>
      </w:r>
    </w:p>
    <w:p w:rsidR="009A18D0" w:rsidRPr="00A61E6C" w:rsidRDefault="009A18D0" w:rsidP="00233F3E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E6C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A61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E6C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A61E6C">
        <w:rPr>
          <w:rFonts w:ascii="Times New Roman" w:hAnsi="Times New Roman" w:cs="Times New Roman"/>
          <w:sz w:val="24"/>
          <w:szCs w:val="24"/>
        </w:rPr>
        <w:t xml:space="preserve"> on Research </w:t>
      </w:r>
      <w:proofErr w:type="spellStart"/>
      <w:r w:rsidRPr="00A61E6C">
        <w:rPr>
          <w:rFonts w:ascii="Times New Roman" w:hAnsi="Times New Roman" w:cs="Times New Roman"/>
          <w:sz w:val="24"/>
          <w:szCs w:val="24"/>
        </w:rPr>
        <w:t>Infrastructures</w:t>
      </w:r>
      <w:proofErr w:type="spellEnd"/>
      <w:r w:rsidRPr="00A61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1E6C">
        <w:rPr>
          <w:rFonts w:ascii="Times New Roman" w:hAnsi="Times New Roman" w:cs="Times New Roman"/>
          <w:sz w:val="24"/>
          <w:szCs w:val="24"/>
        </w:rPr>
        <w:t>Roadmap</w:t>
      </w:r>
      <w:proofErr w:type="spellEnd"/>
      <w:r w:rsidRPr="00A61E6C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C51C46" w:rsidRPr="00A61E6C" w:rsidRDefault="00C51C46" w:rsidP="00C51C46">
      <w:pPr>
        <w:jc w:val="both"/>
        <w:rPr>
          <w:i/>
        </w:rPr>
      </w:pPr>
    </w:p>
    <w:p w:rsidR="00C0168C" w:rsidRPr="00A61E6C" w:rsidRDefault="00C0168C" w:rsidP="00C0168C">
      <w:pPr>
        <w:jc w:val="both"/>
        <w:rPr>
          <w:b/>
          <w:i/>
          <w:highlight w:val="yellow"/>
        </w:rPr>
      </w:pPr>
    </w:p>
    <w:p w:rsidR="00C0168C" w:rsidRPr="00A61E6C" w:rsidRDefault="00C0168C" w:rsidP="00C0168C">
      <w:pPr>
        <w:jc w:val="both"/>
        <w:rPr>
          <w:b/>
          <w:i/>
        </w:rPr>
      </w:pPr>
    </w:p>
    <w:p w:rsidR="00DF6C79" w:rsidRPr="00A61E6C" w:rsidRDefault="008A25E4" w:rsidP="00C0168C">
      <w:pPr>
        <w:rPr>
          <w:i/>
          <w:iCs/>
        </w:rPr>
      </w:pPr>
      <w:r w:rsidRPr="00A61E6C">
        <w:rPr>
          <w:i/>
          <w:iCs/>
        </w:rPr>
        <w:t xml:space="preserve">U sklopu K679084 OP – Konkurentnosti i kohezija u tijeku je završetak </w:t>
      </w:r>
      <w:r w:rsidR="00C0168C" w:rsidRPr="00A61E6C">
        <w:rPr>
          <w:i/>
          <w:iCs/>
        </w:rPr>
        <w:t>provedbe projekta Prenamjena zgrade bivšeg vojnog objekta – Mornaričke bolnice za potrebe istarskog Sveučilišta“ – prva faza (KK.06.2.2.07.0003) i druga faza (KK.06.2.2.19.0001)</w:t>
      </w:r>
      <w:r w:rsidRPr="00A61E6C">
        <w:rPr>
          <w:i/>
          <w:iCs/>
        </w:rPr>
        <w:t xml:space="preserve">. </w:t>
      </w:r>
    </w:p>
    <w:p w:rsidR="00DF6C79" w:rsidRPr="00A61E6C" w:rsidRDefault="00DF6C79" w:rsidP="00C0168C">
      <w:pPr>
        <w:rPr>
          <w:i/>
          <w:iCs/>
        </w:rPr>
      </w:pPr>
    </w:p>
    <w:p w:rsidR="00C0168C" w:rsidRPr="00A61E6C" w:rsidRDefault="008A25E4" w:rsidP="00C0168C">
      <w:pPr>
        <w:rPr>
          <w:b/>
          <w:i/>
          <w:iCs/>
        </w:rPr>
      </w:pPr>
      <w:r w:rsidRPr="00A61E6C">
        <w:rPr>
          <w:b/>
          <w:i/>
          <w:iCs/>
        </w:rPr>
        <w:t xml:space="preserve">U razdoblju od 2024. do 2026. godine po ovoj osnovi nema planiranih </w:t>
      </w:r>
      <w:r w:rsidR="00DF6C79" w:rsidRPr="00A61E6C">
        <w:rPr>
          <w:b/>
          <w:i/>
          <w:iCs/>
        </w:rPr>
        <w:t>iznosa</w:t>
      </w:r>
      <w:r w:rsidRPr="00A61E6C">
        <w:rPr>
          <w:b/>
          <w:i/>
          <w:iCs/>
        </w:rPr>
        <w:t>.</w:t>
      </w:r>
    </w:p>
    <w:p w:rsidR="00C0168C" w:rsidRPr="00A61E6C" w:rsidRDefault="00C0168C" w:rsidP="00C0168C">
      <w:pPr>
        <w:rPr>
          <w:highlight w:val="yellow"/>
        </w:rPr>
      </w:pPr>
    </w:p>
    <w:p w:rsidR="00CC4C52" w:rsidRPr="00A61E6C" w:rsidRDefault="00CC4C52" w:rsidP="004426CF">
      <w:pPr>
        <w:pStyle w:val="ListParagraph"/>
        <w:spacing w:after="200" w:line="240" w:lineRule="auto"/>
        <w:jc w:val="both"/>
        <w:rPr>
          <w:rFonts w:ascii="Times New Roman" w:hAnsi="Times New Roman" w:cs="Times New Roman (Body CS)"/>
          <w:i/>
          <w:sz w:val="24"/>
          <w:szCs w:val="24"/>
        </w:rPr>
      </w:pPr>
    </w:p>
    <w:p w:rsidR="00C54B88" w:rsidRPr="00A61E6C" w:rsidRDefault="008A0ABD" w:rsidP="00D42AF8">
      <w:pPr>
        <w:spacing w:after="200"/>
        <w:jc w:val="both"/>
      </w:pPr>
      <w:r w:rsidRPr="00A61E6C">
        <w:rPr>
          <w:rFonts w:ascii="Times New Roman Bold" w:hAnsi="Times New Roman Bold" w:cs="Times New Roman (Body CS)"/>
          <w:bCs/>
          <w:i/>
          <w:iCs/>
        </w:rPr>
        <w:tab/>
      </w:r>
    </w:p>
    <w:p w:rsidR="00F706C1" w:rsidRPr="00A61E6C" w:rsidRDefault="00F706C1" w:rsidP="00C54B88">
      <w:pPr>
        <w:jc w:val="both"/>
      </w:pPr>
    </w:p>
    <w:p w:rsidR="00F706C1" w:rsidRPr="00A61E6C" w:rsidRDefault="00F706C1" w:rsidP="00C54B88">
      <w:pPr>
        <w:jc w:val="both"/>
      </w:pPr>
    </w:p>
    <w:p w:rsidR="00C54B88" w:rsidRPr="00A61E6C" w:rsidRDefault="00C54B88" w:rsidP="00F1249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A61E6C">
        <w:rPr>
          <w:b/>
          <w:sz w:val="28"/>
        </w:rPr>
        <w:t xml:space="preserve">K679106 OP UČINKOVITI LJUDSKI POTENCIJALI 2014-2020. </w:t>
      </w:r>
    </w:p>
    <w:p w:rsidR="00C54B88" w:rsidRPr="00A61E6C" w:rsidRDefault="00C54B88" w:rsidP="00C54B88">
      <w:pPr>
        <w:jc w:val="both"/>
        <w:rPr>
          <w:i/>
        </w:rPr>
      </w:pPr>
      <w:r w:rsidRPr="00A61E6C">
        <w:rPr>
          <w:i/>
        </w:rPr>
        <w:t>Zakonske i druge pravne osnove</w:t>
      </w:r>
    </w:p>
    <w:p w:rsidR="00C54B88" w:rsidRPr="00A61E6C" w:rsidRDefault="00C54B88" w:rsidP="00C54B88">
      <w:pPr>
        <w:pStyle w:val="ListParagraph"/>
        <w:numPr>
          <w:ilvl w:val="0"/>
          <w:numId w:val="1"/>
        </w:numPr>
        <w:rPr>
          <w:i/>
          <w:lang w:val="en-US"/>
        </w:rPr>
      </w:pPr>
      <w:r w:rsidRPr="00A61E6C">
        <w:rPr>
          <w:i/>
        </w:rPr>
        <w:t>Zakon o znanstvenoj djelatnosti i visokom obrazovanju (NN 123/03,  198/03,   105/04, 174/04, 2/07 - OUSRH, 46/07, 45/09, 63/11, 94/13, 139/13 i 101/14, 60/15, 131/17)</w:t>
      </w:r>
    </w:p>
    <w:p w:rsidR="00F66765" w:rsidRPr="00A61E6C" w:rsidRDefault="00893015" w:rsidP="00F66765">
      <w:pPr>
        <w:pStyle w:val="ListParagraph"/>
        <w:numPr>
          <w:ilvl w:val="0"/>
          <w:numId w:val="1"/>
        </w:numPr>
        <w:spacing w:after="200" w:line="0" w:lineRule="atLeast"/>
        <w:jc w:val="both"/>
        <w:rPr>
          <w:rStyle w:val="Hyperlink"/>
          <w:color w:val="auto"/>
        </w:rPr>
      </w:pPr>
      <w:r w:rsidRPr="00A61E6C">
        <w:rPr>
          <w:rFonts w:ascii="Times New Roman" w:hAnsi="Times New Roman" w:cs="Times New Roman"/>
          <w:sz w:val="24"/>
          <w:szCs w:val="24"/>
        </w:rPr>
        <w:t xml:space="preserve">Strategija razvoja Sveučilišta Jurja Dobrile u Puli 2021.-2026., </w:t>
      </w:r>
      <w:r w:rsidRPr="00A61E6C">
        <w:rPr>
          <w:rStyle w:val="Hyperlink"/>
          <w:color w:val="auto"/>
        </w:rPr>
        <w:t>https://www.unipu.hr/_news/93569/Strategija%20razvoja%20Sveucilista%202021.%20-%202026..pdf</w:t>
      </w:r>
    </w:p>
    <w:p w:rsidR="00C54B88" w:rsidRPr="00A61E6C" w:rsidRDefault="00C54B88" w:rsidP="00C54B88">
      <w:pPr>
        <w:pStyle w:val="ListParagraph"/>
        <w:numPr>
          <w:ilvl w:val="0"/>
          <w:numId w:val="1"/>
        </w:numPr>
        <w:rPr>
          <w:i/>
          <w:lang w:val="en-US"/>
        </w:rPr>
      </w:pPr>
      <w:r w:rsidRPr="00A61E6C">
        <w:rPr>
          <w:i/>
        </w:rPr>
        <w:t>Zakon o osiguravanju kvalitete u znanosti i visokom obrazovanju (NN 45/09)</w:t>
      </w:r>
    </w:p>
    <w:p w:rsidR="00C54B88" w:rsidRPr="00A61E6C" w:rsidRDefault="00C54B88" w:rsidP="00C54B88">
      <w:pPr>
        <w:pStyle w:val="ListParagraph"/>
        <w:numPr>
          <w:ilvl w:val="0"/>
          <w:numId w:val="1"/>
        </w:numPr>
        <w:rPr>
          <w:i/>
          <w:lang w:val="en-US"/>
        </w:rPr>
      </w:pPr>
      <w:r w:rsidRPr="00A61E6C">
        <w:rPr>
          <w:i/>
        </w:rPr>
        <w:t>Zakon o HKO (NN 22/13, 64/18)</w:t>
      </w:r>
    </w:p>
    <w:p w:rsidR="00C54B88" w:rsidRPr="00A61E6C" w:rsidRDefault="00C54B88" w:rsidP="00C54B88">
      <w:pPr>
        <w:pStyle w:val="ListParagraph"/>
        <w:numPr>
          <w:ilvl w:val="0"/>
          <w:numId w:val="1"/>
        </w:numPr>
        <w:rPr>
          <w:i/>
          <w:lang w:val="en-US"/>
        </w:rPr>
      </w:pPr>
      <w:r w:rsidRPr="00A61E6C">
        <w:rPr>
          <w:i/>
        </w:rPr>
        <w:t>Pravilnik o Registru HKO (NN 62/14)</w:t>
      </w:r>
    </w:p>
    <w:p w:rsidR="00C54B88" w:rsidRPr="00A61E6C" w:rsidRDefault="00C54B88" w:rsidP="00C54B88">
      <w:pPr>
        <w:pStyle w:val="ListParagraph"/>
        <w:numPr>
          <w:ilvl w:val="0"/>
          <w:numId w:val="1"/>
        </w:numPr>
        <w:rPr>
          <w:i/>
          <w:lang w:val="en-US"/>
        </w:rPr>
      </w:pPr>
      <w:r w:rsidRPr="00A61E6C">
        <w:rPr>
          <w:i/>
        </w:rPr>
        <w:t>Operativni program «Učinkoviti ljudski potencijali»</w:t>
      </w:r>
    </w:p>
    <w:p w:rsidR="00893015" w:rsidRPr="00A61E6C" w:rsidRDefault="00893015" w:rsidP="00893015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Calibri" w:eastAsia="Times New Roman" w:hAnsi="Calibri" w:cs="Calibri"/>
          <w:lang w:eastAsia="hr-HR"/>
        </w:rPr>
      </w:pPr>
      <w:r w:rsidRPr="00A61E6C">
        <w:rPr>
          <w:rFonts w:ascii="Calibri" w:eastAsia="Times New Roman" w:hAnsi="Calibri" w:cs="Calibri"/>
          <w:lang w:val="en-GB" w:eastAsia="hr-HR"/>
        </w:rPr>
        <w:t>Europa 2020. /</w:t>
      </w:r>
      <w:r w:rsidRPr="00A61E6C">
        <w:t xml:space="preserve"> Europska strategija za pametan, održiv i uključiv rast, </w:t>
      </w:r>
      <w:hyperlink r:id="rId16" w:history="1">
        <w:r w:rsidRPr="00A61E6C">
          <w:rPr>
            <w:rStyle w:val="Hyperlink"/>
            <w:color w:val="auto"/>
          </w:rPr>
          <w:t>https://strukturnifondovi.hr/wp-content/uploads/2017/03/Strategija-EUROPA-2020.-hr.pdf</w:t>
        </w:r>
      </w:hyperlink>
      <w:r w:rsidRPr="00A61E6C">
        <w:t xml:space="preserve"> </w:t>
      </w:r>
    </w:p>
    <w:p w:rsidR="00893015" w:rsidRPr="00A61E6C" w:rsidRDefault="00893015" w:rsidP="00893015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Calibri" w:eastAsia="Times New Roman" w:hAnsi="Calibri" w:cs="Calibri"/>
          <w:lang w:eastAsia="hr-HR"/>
        </w:rPr>
      </w:pPr>
      <w:r w:rsidRPr="00A61E6C">
        <w:rPr>
          <w:rFonts w:ascii="Calibri" w:eastAsia="Times New Roman" w:hAnsi="Calibri" w:cs="Calibri"/>
          <w:lang w:val="en-GB" w:eastAsia="hr-HR"/>
        </w:rPr>
        <w:t xml:space="preserve">Novi program </w:t>
      </w:r>
      <w:proofErr w:type="spellStart"/>
      <w:r w:rsidRPr="00A61E6C">
        <w:rPr>
          <w:rFonts w:ascii="Calibri" w:eastAsia="Times New Roman" w:hAnsi="Calibri" w:cs="Calibri"/>
          <w:lang w:val="en-GB" w:eastAsia="hr-HR"/>
        </w:rPr>
        <w:t>vještina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za </w:t>
      </w:r>
      <w:proofErr w:type="spellStart"/>
      <w:r w:rsidRPr="00A61E6C">
        <w:rPr>
          <w:rFonts w:ascii="Calibri" w:eastAsia="Times New Roman" w:hAnsi="Calibri" w:cs="Calibri"/>
          <w:lang w:val="en-GB" w:eastAsia="hr-HR"/>
        </w:rPr>
        <w:t>Europu</w:t>
      </w:r>
      <w:proofErr w:type="spellEnd"/>
    </w:p>
    <w:p w:rsidR="00893015" w:rsidRPr="00A61E6C" w:rsidRDefault="00893015" w:rsidP="00893015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A61E6C">
        <w:rPr>
          <w:rFonts w:ascii="Calibri" w:eastAsia="Times New Roman" w:hAnsi="Calibri" w:cs="Calibri"/>
          <w:lang w:val="en-GB" w:eastAsia="hr-HR"/>
        </w:rPr>
        <w:t>Preporuka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</w:t>
      </w:r>
      <w:proofErr w:type="spellStart"/>
      <w:r w:rsidRPr="00A61E6C">
        <w:rPr>
          <w:rFonts w:ascii="Calibri" w:eastAsia="Times New Roman" w:hAnsi="Calibri" w:cs="Calibri"/>
          <w:lang w:val="en-GB" w:eastAsia="hr-HR"/>
        </w:rPr>
        <w:t>Vijeća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o </w:t>
      </w:r>
      <w:proofErr w:type="spellStart"/>
      <w:r w:rsidRPr="00A61E6C">
        <w:rPr>
          <w:rFonts w:ascii="Calibri" w:eastAsia="Times New Roman" w:hAnsi="Calibri" w:cs="Calibri"/>
          <w:lang w:val="en-GB" w:eastAsia="hr-HR"/>
        </w:rPr>
        <w:t>Europskom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</w:t>
      </w:r>
      <w:proofErr w:type="spellStart"/>
      <w:r w:rsidRPr="00A61E6C">
        <w:rPr>
          <w:rFonts w:ascii="Calibri" w:eastAsia="Times New Roman" w:hAnsi="Calibri" w:cs="Calibri"/>
          <w:lang w:val="en-GB" w:eastAsia="hr-HR"/>
        </w:rPr>
        <w:t>kvalifikacijskom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</w:t>
      </w:r>
      <w:proofErr w:type="spellStart"/>
      <w:r w:rsidRPr="00A61E6C">
        <w:rPr>
          <w:rFonts w:ascii="Calibri" w:eastAsia="Times New Roman" w:hAnsi="Calibri" w:cs="Calibri"/>
          <w:lang w:val="en-GB" w:eastAsia="hr-HR"/>
        </w:rPr>
        <w:t>okviru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za </w:t>
      </w:r>
      <w:proofErr w:type="spellStart"/>
      <w:r w:rsidRPr="00A61E6C">
        <w:rPr>
          <w:rFonts w:ascii="Calibri" w:eastAsia="Times New Roman" w:hAnsi="Calibri" w:cs="Calibri"/>
          <w:lang w:val="en-GB" w:eastAsia="hr-HR"/>
        </w:rPr>
        <w:t>cjeloživotno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</w:t>
      </w:r>
      <w:proofErr w:type="spellStart"/>
      <w:r w:rsidRPr="00A61E6C">
        <w:rPr>
          <w:rFonts w:ascii="Calibri" w:eastAsia="Times New Roman" w:hAnsi="Calibri" w:cs="Calibri"/>
          <w:lang w:val="en-GB" w:eastAsia="hr-HR"/>
        </w:rPr>
        <w:t>učenje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od 22. </w:t>
      </w:r>
      <w:proofErr w:type="spellStart"/>
      <w:r w:rsidRPr="00A61E6C">
        <w:rPr>
          <w:rFonts w:ascii="Calibri" w:eastAsia="Times New Roman" w:hAnsi="Calibri" w:cs="Calibri"/>
          <w:lang w:val="en-GB" w:eastAsia="hr-HR"/>
        </w:rPr>
        <w:t>svibnja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2017., </w:t>
      </w:r>
      <w:r w:rsidRPr="00A61E6C">
        <w:t>(2017/C 189/03)</w:t>
      </w:r>
    </w:p>
    <w:p w:rsidR="00893015" w:rsidRPr="00A61E6C" w:rsidRDefault="00893015" w:rsidP="00893015">
      <w:pPr>
        <w:pStyle w:val="ListParagraph"/>
        <w:numPr>
          <w:ilvl w:val="0"/>
          <w:numId w:val="1"/>
        </w:numPr>
        <w:rPr>
          <w:rStyle w:val="Hyperlink"/>
          <w:i/>
          <w:color w:val="auto"/>
          <w:u w:val="none"/>
          <w:lang w:val="en-US"/>
        </w:rPr>
      </w:pPr>
      <w:proofErr w:type="spellStart"/>
      <w:r w:rsidRPr="00A61E6C">
        <w:rPr>
          <w:rFonts w:ascii="Calibri" w:eastAsia="Times New Roman" w:hAnsi="Calibri" w:cs="Calibri"/>
          <w:lang w:val="en-GB" w:eastAsia="hr-HR"/>
        </w:rPr>
        <w:t>Strategija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</w:t>
      </w:r>
      <w:proofErr w:type="spellStart"/>
      <w:r w:rsidRPr="00A61E6C">
        <w:rPr>
          <w:rFonts w:ascii="Calibri" w:eastAsia="Times New Roman" w:hAnsi="Calibri" w:cs="Calibri"/>
          <w:lang w:val="en-GB" w:eastAsia="hr-HR"/>
        </w:rPr>
        <w:t>cjeloživotnog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</w:t>
      </w:r>
      <w:proofErr w:type="spellStart"/>
      <w:r w:rsidRPr="00A61E6C">
        <w:rPr>
          <w:rFonts w:ascii="Calibri" w:eastAsia="Times New Roman" w:hAnsi="Calibri" w:cs="Calibri"/>
          <w:lang w:val="en-GB" w:eastAsia="hr-HR"/>
        </w:rPr>
        <w:t>profesionalnog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</w:t>
      </w:r>
      <w:proofErr w:type="spellStart"/>
      <w:r w:rsidRPr="00A61E6C">
        <w:rPr>
          <w:rFonts w:ascii="Calibri" w:eastAsia="Times New Roman" w:hAnsi="Calibri" w:cs="Calibri"/>
          <w:lang w:val="en-GB" w:eastAsia="hr-HR"/>
        </w:rPr>
        <w:t>usmjeravanja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i </w:t>
      </w:r>
      <w:proofErr w:type="spellStart"/>
      <w:r w:rsidRPr="00A61E6C">
        <w:rPr>
          <w:rFonts w:ascii="Calibri" w:eastAsia="Times New Roman" w:hAnsi="Calibri" w:cs="Calibri"/>
          <w:lang w:val="en-GB" w:eastAsia="hr-HR"/>
        </w:rPr>
        <w:t>razvoja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</w:t>
      </w:r>
      <w:proofErr w:type="spellStart"/>
      <w:r w:rsidRPr="00A61E6C">
        <w:rPr>
          <w:rFonts w:ascii="Calibri" w:eastAsia="Times New Roman" w:hAnsi="Calibri" w:cs="Calibri"/>
          <w:lang w:val="en-GB" w:eastAsia="hr-HR"/>
        </w:rPr>
        <w:t>karijere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u </w:t>
      </w:r>
      <w:proofErr w:type="spellStart"/>
      <w:r w:rsidRPr="00A61E6C">
        <w:rPr>
          <w:rFonts w:ascii="Calibri" w:eastAsia="Times New Roman" w:hAnsi="Calibri" w:cs="Calibri"/>
          <w:lang w:val="en-GB" w:eastAsia="hr-HR"/>
        </w:rPr>
        <w:t>Republici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</w:t>
      </w:r>
      <w:proofErr w:type="spellStart"/>
      <w:r w:rsidRPr="00A61E6C">
        <w:rPr>
          <w:rFonts w:ascii="Calibri" w:eastAsia="Times New Roman" w:hAnsi="Calibri" w:cs="Calibri"/>
          <w:lang w:val="en-GB" w:eastAsia="hr-HR"/>
        </w:rPr>
        <w:t>Hrvatskoj</w:t>
      </w:r>
      <w:proofErr w:type="spellEnd"/>
      <w:r w:rsidRPr="00A61E6C">
        <w:rPr>
          <w:rFonts w:ascii="Calibri" w:eastAsia="Times New Roman" w:hAnsi="Calibri" w:cs="Calibri"/>
          <w:lang w:val="en-GB" w:eastAsia="hr-HR"/>
        </w:rPr>
        <w:t xml:space="preserve"> 2016.-2020. (2015.), </w:t>
      </w:r>
      <w:hyperlink r:id="rId17" w:history="1">
        <w:r w:rsidRPr="00A61E6C">
          <w:rPr>
            <w:rStyle w:val="Hyperlink"/>
            <w:rFonts w:ascii="Calibri" w:eastAsia="Times New Roman" w:hAnsi="Calibri" w:cs="Calibri"/>
            <w:color w:val="auto"/>
            <w:lang w:val="en-GB" w:eastAsia="hr-HR"/>
          </w:rPr>
          <w:t>http://www.kvalifikacije.hr/sites/default/files/documents-publications/2017-05/Strategija%20CPU%20i%20razvoja%20karijere%20u%20RH%202016.-2020..pdf</w:t>
        </w:r>
      </w:hyperlink>
    </w:p>
    <w:p w:rsidR="007239D0" w:rsidRPr="00A61E6C" w:rsidRDefault="007239D0" w:rsidP="007239D0">
      <w:pPr>
        <w:rPr>
          <w:i/>
          <w:lang w:val="en-US"/>
        </w:rPr>
      </w:pPr>
    </w:p>
    <w:p w:rsidR="007239D0" w:rsidRPr="00A61E6C" w:rsidRDefault="007239D0" w:rsidP="007239D0">
      <w:pPr>
        <w:rPr>
          <w:i/>
          <w:lang w:val="en-US"/>
        </w:rPr>
      </w:pPr>
    </w:p>
    <w:p w:rsidR="007239D0" w:rsidRPr="00A61E6C" w:rsidRDefault="007239D0" w:rsidP="007239D0">
      <w:pPr>
        <w:rPr>
          <w:i/>
          <w:lang w:val="en-US"/>
        </w:rPr>
      </w:pPr>
    </w:p>
    <w:p w:rsidR="00FA5875" w:rsidRPr="00A61E6C" w:rsidRDefault="00FA5875" w:rsidP="007239D0">
      <w:pPr>
        <w:rPr>
          <w:i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023"/>
        <w:gridCol w:w="1296"/>
        <w:gridCol w:w="1476"/>
        <w:gridCol w:w="1296"/>
        <w:gridCol w:w="1067"/>
        <w:gridCol w:w="1068"/>
        <w:gridCol w:w="983"/>
      </w:tblGrid>
      <w:tr w:rsidR="00A61E6C" w:rsidRPr="00A61E6C" w:rsidTr="00AF3C39">
        <w:tc>
          <w:tcPr>
            <w:tcW w:w="2023" w:type="dxa"/>
            <w:shd w:val="clear" w:color="auto" w:fill="D0CECE" w:themeFill="background2" w:themeFillShade="E6"/>
          </w:tcPr>
          <w:p w:rsidR="00966EB8" w:rsidRPr="00A61E6C" w:rsidRDefault="00966EB8" w:rsidP="00530CEF">
            <w:pPr>
              <w:jc w:val="both"/>
            </w:pPr>
          </w:p>
          <w:p w:rsidR="00966EB8" w:rsidRPr="00A61E6C" w:rsidRDefault="00966EB8" w:rsidP="00530CEF">
            <w:pPr>
              <w:jc w:val="both"/>
            </w:pPr>
          </w:p>
        </w:tc>
        <w:tc>
          <w:tcPr>
            <w:tcW w:w="1296" w:type="dxa"/>
            <w:shd w:val="clear" w:color="auto" w:fill="D0CECE" w:themeFill="background2" w:themeFillShade="E6"/>
            <w:vAlign w:val="center"/>
          </w:tcPr>
          <w:p w:rsidR="00966EB8" w:rsidRPr="00A61E6C" w:rsidRDefault="00966EB8" w:rsidP="00530CEF">
            <w:pPr>
              <w:jc w:val="center"/>
            </w:pPr>
            <w:r w:rsidRPr="00A61E6C">
              <w:t>Izvršenje 202</w:t>
            </w:r>
            <w:r w:rsidR="00585D1E" w:rsidRPr="00A61E6C">
              <w:t>2</w:t>
            </w:r>
            <w:r w:rsidRPr="00A61E6C">
              <w:t>.</w:t>
            </w:r>
          </w:p>
        </w:tc>
        <w:tc>
          <w:tcPr>
            <w:tcW w:w="1476" w:type="dxa"/>
            <w:shd w:val="clear" w:color="auto" w:fill="D0CECE" w:themeFill="background2" w:themeFillShade="E6"/>
            <w:vAlign w:val="center"/>
          </w:tcPr>
          <w:p w:rsidR="00966EB8" w:rsidRPr="00A61E6C" w:rsidRDefault="00966EB8" w:rsidP="00530CEF">
            <w:pPr>
              <w:jc w:val="center"/>
            </w:pPr>
            <w:r w:rsidRPr="00A61E6C">
              <w:t>Plan 202</w:t>
            </w:r>
            <w:r w:rsidR="00585D1E" w:rsidRPr="00A61E6C">
              <w:t>3</w:t>
            </w:r>
            <w:r w:rsidRPr="00A61E6C">
              <w:t>.</w:t>
            </w:r>
          </w:p>
        </w:tc>
        <w:tc>
          <w:tcPr>
            <w:tcW w:w="1296" w:type="dxa"/>
            <w:shd w:val="clear" w:color="auto" w:fill="D0CECE" w:themeFill="background2" w:themeFillShade="E6"/>
            <w:vAlign w:val="center"/>
          </w:tcPr>
          <w:p w:rsidR="00966EB8" w:rsidRPr="00A61E6C" w:rsidRDefault="00966EB8" w:rsidP="00530CEF">
            <w:pPr>
              <w:jc w:val="center"/>
            </w:pPr>
            <w:r w:rsidRPr="00A61E6C">
              <w:t>Plan 202</w:t>
            </w:r>
            <w:r w:rsidR="00585D1E" w:rsidRPr="00A61E6C">
              <w:t>4</w:t>
            </w:r>
            <w:r w:rsidRPr="00A61E6C">
              <w:t>.</w:t>
            </w:r>
          </w:p>
        </w:tc>
        <w:tc>
          <w:tcPr>
            <w:tcW w:w="1067" w:type="dxa"/>
            <w:shd w:val="clear" w:color="auto" w:fill="D0CECE" w:themeFill="background2" w:themeFillShade="E6"/>
            <w:vAlign w:val="center"/>
          </w:tcPr>
          <w:p w:rsidR="00966EB8" w:rsidRPr="00A61E6C" w:rsidRDefault="00966EB8" w:rsidP="00530CEF">
            <w:pPr>
              <w:jc w:val="center"/>
            </w:pPr>
            <w:r w:rsidRPr="00A61E6C">
              <w:t>Plan 202</w:t>
            </w:r>
            <w:r w:rsidR="00585D1E" w:rsidRPr="00A61E6C">
              <w:t>5</w:t>
            </w:r>
            <w:r w:rsidRPr="00A61E6C">
              <w:t>.</w:t>
            </w:r>
          </w:p>
        </w:tc>
        <w:tc>
          <w:tcPr>
            <w:tcW w:w="1068" w:type="dxa"/>
            <w:shd w:val="clear" w:color="auto" w:fill="D0CECE" w:themeFill="background2" w:themeFillShade="E6"/>
            <w:vAlign w:val="center"/>
          </w:tcPr>
          <w:p w:rsidR="00966EB8" w:rsidRPr="00A61E6C" w:rsidRDefault="00966EB8" w:rsidP="00530CEF">
            <w:pPr>
              <w:jc w:val="center"/>
            </w:pPr>
            <w:r w:rsidRPr="00A61E6C">
              <w:t>Plan 202</w:t>
            </w:r>
            <w:r w:rsidR="00585D1E" w:rsidRPr="00A61E6C">
              <w:t>6</w:t>
            </w:r>
            <w:r w:rsidRPr="00A61E6C">
              <w:t>.</w:t>
            </w:r>
          </w:p>
        </w:tc>
        <w:tc>
          <w:tcPr>
            <w:tcW w:w="983" w:type="dxa"/>
            <w:shd w:val="clear" w:color="auto" w:fill="D0CECE" w:themeFill="background2" w:themeFillShade="E6"/>
            <w:vAlign w:val="center"/>
          </w:tcPr>
          <w:p w:rsidR="00966EB8" w:rsidRPr="00A61E6C" w:rsidRDefault="00966EB8" w:rsidP="00530CEF">
            <w:pPr>
              <w:jc w:val="center"/>
            </w:pPr>
            <w:r w:rsidRPr="00A61E6C">
              <w:t>Indeks.</w:t>
            </w:r>
          </w:p>
        </w:tc>
      </w:tr>
      <w:tr w:rsidR="00585D1E" w:rsidRPr="00A61E6C" w:rsidTr="00AF3C39">
        <w:tc>
          <w:tcPr>
            <w:tcW w:w="2023" w:type="dxa"/>
          </w:tcPr>
          <w:p w:rsidR="00585D1E" w:rsidRPr="00A61E6C" w:rsidRDefault="00585D1E" w:rsidP="00585D1E">
            <w:pPr>
              <w:rPr>
                <w:rFonts w:ascii="Calibri" w:hAnsi="Calibri" w:cs="Calibri"/>
                <w:lang w:eastAsia="hr-HR"/>
              </w:rPr>
            </w:pPr>
            <w:r w:rsidRPr="00A61E6C">
              <w:rPr>
                <w:rFonts w:ascii="Calibri" w:hAnsi="Calibri" w:cs="Calibri"/>
                <w:lang w:eastAsia="hr-HR"/>
              </w:rPr>
              <w:t xml:space="preserve">Razvoj, unapređenje i provedba stručne prakse u visokom obrazovanju; </w:t>
            </w:r>
          </w:p>
          <w:p w:rsidR="00585D1E" w:rsidRPr="00A61E6C" w:rsidRDefault="00585D1E" w:rsidP="00585D1E">
            <w:pPr>
              <w:rPr>
                <w:rFonts w:ascii="Calibri" w:hAnsi="Calibri" w:cs="Calibri"/>
                <w:lang w:eastAsia="hr-HR"/>
              </w:rPr>
            </w:pPr>
          </w:p>
          <w:p w:rsidR="00585D1E" w:rsidRPr="00A61E6C" w:rsidRDefault="00585D1E" w:rsidP="00585D1E">
            <w:r w:rsidRPr="00A61E6C">
              <w:rPr>
                <w:rFonts w:ascii="Calibri" w:hAnsi="Calibri" w:cs="Calibri"/>
                <w:lang w:eastAsia="hr-HR"/>
              </w:rPr>
              <w:t>UP.03.1.1.044 Stručnom praksom do ranog razvoja karijere</w:t>
            </w:r>
            <w:r w:rsidRPr="00A61E6C">
              <w:t xml:space="preserve"> </w:t>
            </w:r>
          </w:p>
        </w:tc>
        <w:tc>
          <w:tcPr>
            <w:tcW w:w="1296" w:type="dxa"/>
          </w:tcPr>
          <w:p w:rsidR="00585D1E" w:rsidRPr="00A61E6C" w:rsidRDefault="008A25E4" w:rsidP="00585D1E">
            <w:pPr>
              <w:jc w:val="both"/>
            </w:pPr>
            <w:r w:rsidRPr="00A61E6C">
              <w:t>99,9</w:t>
            </w:r>
            <w:r w:rsidR="00DF6C79" w:rsidRPr="00A61E6C">
              <w:t>11</w:t>
            </w:r>
            <w:r w:rsidR="00585D1E" w:rsidRPr="00A61E6C">
              <w:t xml:space="preserve"> EUR</w:t>
            </w:r>
          </w:p>
          <w:p w:rsidR="00585D1E" w:rsidRPr="00A61E6C" w:rsidRDefault="00585D1E" w:rsidP="00585D1E">
            <w:pPr>
              <w:jc w:val="both"/>
            </w:pPr>
          </w:p>
          <w:p w:rsidR="00585D1E" w:rsidRPr="00A61E6C" w:rsidRDefault="00585D1E" w:rsidP="00585D1E">
            <w:pPr>
              <w:jc w:val="both"/>
            </w:pPr>
          </w:p>
          <w:p w:rsidR="00585D1E" w:rsidRPr="00A61E6C" w:rsidRDefault="00585D1E" w:rsidP="00585D1E">
            <w:pPr>
              <w:jc w:val="both"/>
            </w:pPr>
          </w:p>
          <w:p w:rsidR="00585D1E" w:rsidRPr="00A61E6C" w:rsidRDefault="00585D1E" w:rsidP="00585D1E">
            <w:pPr>
              <w:jc w:val="both"/>
            </w:pPr>
          </w:p>
          <w:p w:rsidR="00585D1E" w:rsidRPr="00A61E6C" w:rsidRDefault="00585D1E" w:rsidP="00585D1E">
            <w:pPr>
              <w:jc w:val="both"/>
            </w:pPr>
          </w:p>
        </w:tc>
        <w:tc>
          <w:tcPr>
            <w:tcW w:w="1476" w:type="dxa"/>
          </w:tcPr>
          <w:p w:rsidR="00585D1E" w:rsidRPr="00A61E6C" w:rsidRDefault="00585D1E" w:rsidP="00585D1E">
            <w:pPr>
              <w:jc w:val="both"/>
            </w:pPr>
            <w:r w:rsidRPr="00A61E6C">
              <w:t>138.823 EUR</w:t>
            </w:r>
          </w:p>
        </w:tc>
        <w:tc>
          <w:tcPr>
            <w:tcW w:w="1296" w:type="dxa"/>
          </w:tcPr>
          <w:p w:rsidR="00585D1E" w:rsidRPr="00A61E6C" w:rsidRDefault="00585D1E" w:rsidP="00585D1E">
            <w:pPr>
              <w:jc w:val="both"/>
            </w:pPr>
            <w:r w:rsidRPr="00A61E6C">
              <w:t>20.000</w:t>
            </w:r>
            <w:r w:rsidR="00DF6C79" w:rsidRPr="00A61E6C">
              <w:t xml:space="preserve"> </w:t>
            </w:r>
            <w:r w:rsidRPr="00A61E6C">
              <w:t>EUR</w:t>
            </w:r>
          </w:p>
        </w:tc>
        <w:tc>
          <w:tcPr>
            <w:tcW w:w="1067" w:type="dxa"/>
          </w:tcPr>
          <w:p w:rsidR="00585D1E" w:rsidRPr="00A61E6C" w:rsidRDefault="00585D1E" w:rsidP="00585D1E">
            <w:pPr>
              <w:jc w:val="both"/>
            </w:pPr>
            <w:r w:rsidRPr="00A61E6C">
              <w:t>2.500 EUR</w:t>
            </w:r>
          </w:p>
        </w:tc>
        <w:tc>
          <w:tcPr>
            <w:tcW w:w="1068" w:type="dxa"/>
          </w:tcPr>
          <w:p w:rsidR="00585D1E" w:rsidRPr="00A61E6C" w:rsidRDefault="00585D1E" w:rsidP="00585D1E">
            <w:pPr>
              <w:jc w:val="both"/>
            </w:pPr>
            <w:r w:rsidRPr="00A61E6C">
              <w:t>2.500 EUR</w:t>
            </w:r>
          </w:p>
        </w:tc>
        <w:tc>
          <w:tcPr>
            <w:tcW w:w="983" w:type="dxa"/>
          </w:tcPr>
          <w:p w:rsidR="00585D1E" w:rsidRPr="00A61E6C" w:rsidRDefault="00585D1E" w:rsidP="00585D1E">
            <w:pPr>
              <w:jc w:val="both"/>
            </w:pPr>
            <w:r w:rsidRPr="00A61E6C">
              <w:t xml:space="preserve">  14</w:t>
            </w:r>
          </w:p>
        </w:tc>
      </w:tr>
    </w:tbl>
    <w:p w:rsidR="001B3ED8" w:rsidRPr="00A61E6C" w:rsidRDefault="001B3ED8" w:rsidP="001426CC">
      <w:pPr>
        <w:spacing w:before="240"/>
        <w:jc w:val="both"/>
        <w:rPr>
          <w:b/>
          <w:highlight w:val="yellow"/>
        </w:rPr>
      </w:pPr>
    </w:p>
    <w:p w:rsidR="001426CC" w:rsidRPr="00A61E6C" w:rsidRDefault="001426CC" w:rsidP="001426CC">
      <w:pPr>
        <w:jc w:val="both"/>
        <w:rPr>
          <w:b/>
        </w:rPr>
      </w:pPr>
      <w:r w:rsidRPr="00A61E6C">
        <w:rPr>
          <w:b/>
        </w:rPr>
        <w:t>Razvoj, unapređenje i provedba stručne prakse u visokom obrazovanju</w:t>
      </w:r>
    </w:p>
    <w:p w:rsidR="001426CC" w:rsidRPr="00A61E6C" w:rsidRDefault="001426CC" w:rsidP="001426CC">
      <w:pPr>
        <w:jc w:val="both"/>
        <w:rPr>
          <w:b/>
        </w:rPr>
      </w:pPr>
      <w:r w:rsidRPr="00A61E6C">
        <w:rPr>
          <w:b/>
        </w:rPr>
        <w:t>UP.03.1.1.04.044 Stručnom praksom do ranog razvoja karijere</w:t>
      </w:r>
    </w:p>
    <w:p w:rsidR="00F2626F" w:rsidRPr="00A61E6C" w:rsidRDefault="00F2626F" w:rsidP="001426CC">
      <w:pPr>
        <w:jc w:val="both"/>
        <w:rPr>
          <w:b/>
        </w:rPr>
      </w:pPr>
    </w:p>
    <w:p w:rsidR="001426CC" w:rsidRPr="00A61E6C" w:rsidRDefault="001426CC" w:rsidP="001426CC">
      <w:pPr>
        <w:jc w:val="both"/>
        <w:rPr>
          <w:b/>
        </w:rPr>
      </w:pPr>
      <w:r w:rsidRPr="00A61E6C">
        <w:rPr>
          <w:i/>
        </w:rPr>
        <w:t>Ova aktivnost/ projekt sastoji se od sljedećih elemenata:</w:t>
      </w:r>
    </w:p>
    <w:p w:rsidR="001426CC" w:rsidRPr="00A61E6C" w:rsidRDefault="001426CC" w:rsidP="001426CC">
      <w:pPr>
        <w:pStyle w:val="ListParagraph"/>
        <w:numPr>
          <w:ilvl w:val="0"/>
          <w:numId w:val="15"/>
        </w:numPr>
        <w:jc w:val="both"/>
        <w:rPr>
          <w:i/>
        </w:rPr>
      </w:pPr>
      <w:r w:rsidRPr="00A61E6C">
        <w:rPr>
          <w:i/>
        </w:rPr>
        <w:t>Unapređenje postojećih i razvoj novih modela provedbe stručne prakse za postojeće preddiplomske, diplomske te integrirane preddiplomske i diplomske studije</w:t>
      </w:r>
    </w:p>
    <w:p w:rsidR="001426CC" w:rsidRPr="00A61E6C" w:rsidRDefault="001426CC" w:rsidP="001426CC">
      <w:pPr>
        <w:pStyle w:val="ListParagraph"/>
        <w:numPr>
          <w:ilvl w:val="0"/>
          <w:numId w:val="15"/>
        </w:numPr>
        <w:jc w:val="both"/>
        <w:rPr>
          <w:i/>
        </w:rPr>
      </w:pPr>
      <w:r w:rsidRPr="00A61E6C">
        <w:rPr>
          <w:i/>
        </w:rPr>
        <w:t>Provedba stručne prakse</w:t>
      </w:r>
    </w:p>
    <w:p w:rsidR="001426CC" w:rsidRPr="00A61E6C" w:rsidRDefault="001426CC" w:rsidP="001426CC">
      <w:pPr>
        <w:pStyle w:val="ListParagraph"/>
        <w:numPr>
          <w:ilvl w:val="0"/>
          <w:numId w:val="15"/>
        </w:numPr>
        <w:jc w:val="both"/>
        <w:rPr>
          <w:i/>
        </w:rPr>
      </w:pPr>
      <w:r w:rsidRPr="00A61E6C">
        <w:rPr>
          <w:i/>
        </w:rPr>
        <w:t>Promidžba i vidljivost</w:t>
      </w:r>
    </w:p>
    <w:p w:rsidR="001426CC" w:rsidRPr="00A61E6C" w:rsidRDefault="001426CC" w:rsidP="00530CEF">
      <w:pPr>
        <w:pStyle w:val="ListParagraph"/>
        <w:numPr>
          <w:ilvl w:val="0"/>
          <w:numId w:val="15"/>
        </w:numPr>
        <w:jc w:val="both"/>
        <w:rPr>
          <w:i/>
        </w:rPr>
      </w:pPr>
      <w:r w:rsidRPr="00A61E6C">
        <w:rPr>
          <w:i/>
        </w:rPr>
        <w:t>Upravljanje projektom i administracija</w:t>
      </w:r>
      <w:r w:rsidR="00DF6C79" w:rsidRPr="00A61E6C">
        <w:rPr>
          <w:i/>
        </w:rPr>
        <w:t xml:space="preserve"> </w:t>
      </w:r>
      <w:r w:rsidRPr="00A61E6C">
        <w:rPr>
          <w:i/>
        </w:rPr>
        <w:t xml:space="preserve">Provedba projekta započela je 2020. godine. </w:t>
      </w:r>
    </w:p>
    <w:p w:rsidR="000927DE" w:rsidRPr="00A61E6C" w:rsidRDefault="000927DE" w:rsidP="000927DE">
      <w:pPr>
        <w:jc w:val="both"/>
        <w:rPr>
          <w:i/>
        </w:rPr>
      </w:pPr>
      <w:r w:rsidRPr="00A61E6C">
        <w:rPr>
          <w:i/>
        </w:rPr>
        <w:t xml:space="preserve">Provedba projekta započela je 2020. godine. </w:t>
      </w:r>
    </w:p>
    <w:p w:rsidR="001426CC" w:rsidRPr="00A61E6C" w:rsidRDefault="000927DE" w:rsidP="001426CC">
      <w:pPr>
        <w:jc w:val="both"/>
        <w:rPr>
          <w:i/>
        </w:rPr>
      </w:pPr>
      <w:r w:rsidRPr="00A61E6C">
        <w:rPr>
          <w:i/>
        </w:rPr>
        <w:t xml:space="preserve">U </w:t>
      </w:r>
      <w:r w:rsidR="001426CC" w:rsidRPr="00A61E6C">
        <w:rPr>
          <w:i/>
        </w:rPr>
        <w:t>razdoblju 202</w:t>
      </w:r>
      <w:r w:rsidR="00585D1E" w:rsidRPr="00A61E6C">
        <w:rPr>
          <w:i/>
        </w:rPr>
        <w:t>4</w:t>
      </w:r>
      <w:r w:rsidR="001426CC" w:rsidRPr="00A61E6C">
        <w:rPr>
          <w:i/>
        </w:rPr>
        <w:t>. – 202</w:t>
      </w:r>
      <w:r w:rsidR="00585D1E" w:rsidRPr="00A61E6C">
        <w:rPr>
          <w:i/>
        </w:rPr>
        <w:t>6.</w:t>
      </w:r>
      <w:r w:rsidR="001426CC" w:rsidRPr="00A61E6C">
        <w:rPr>
          <w:i/>
        </w:rPr>
        <w:t xml:space="preserve"> očekuje se ostvarenje sljedećeg: povećanje i unapređenje provedbe stručne prakse kroz razvoj suradnje s poslodavcima, provedbu terenske stručne nastave, zajedničkih istraživačkih projekata, uključivanje mentora poduzetnika u izvedbu studijskih programa, jačanje kompetencija nastavnog i nenastavnog osoblja. Projektom će studenti steći stručna znanja i vještine neophodne na tržištu rada, a suradnja s poslodavcima </w:t>
      </w:r>
      <w:r w:rsidR="00F2626F" w:rsidRPr="00A61E6C">
        <w:rPr>
          <w:i/>
        </w:rPr>
        <w:t>Sveučilištu</w:t>
      </w:r>
      <w:r w:rsidR="001426CC" w:rsidRPr="00A61E6C">
        <w:rPr>
          <w:i/>
        </w:rPr>
        <w:t xml:space="preserve"> će omogućiti da poveća relevantnost i konkurentnost studijskih programa.</w:t>
      </w:r>
    </w:p>
    <w:p w:rsidR="001426CC" w:rsidRPr="00A61E6C" w:rsidRDefault="001426CC" w:rsidP="001426CC">
      <w:pPr>
        <w:jc w:val="both"/>
        <w:rPr>
          <w:i/>
        </w:rPr>
      </w:pPr>
    </w:p>
    <w:p w:rsidR="001426CC" w:rsidRPr="00A61E6C" w:rsidRDefault="001426CC" w:rsidP="001426CC">
      <w:pPr>
        <w:jc w:val="both"/>
        <w:rPr>
          <w:i/>
        </w:rPr>
      </w:pPr>
      <w:r w:rsidRPr="00A61E6C">
        <w:rPr>
          <w:i/>
        </w:rPr>
        <w:t>Izračun financijskog plana:</w:t>
      </w:r>
    </w:p>
    <w:p w:rsidR="001426CC" w:rsidRPr="00A61E6C" w:rsidRDefault="001426CC" w:rsidP="001426CC">
      <w:pPr>
        <w:jc w:val="both"/>
        <w:rPr>
          <w:i/>
          <w:iCs/>
        </w:rPr>
      </w:pPr>
      <w:r w:rsidRPr="00A61E6C">
        <w:rPr>
          <w:i/>
          <w:iCs/>
        </w:rPr>
        <w:t xml:space="preserve">Odlukom o financiranju projekta Stručnom praksom do ranog razvoja karijere u veljači 2020. g. Sveučilištu Jurja Dobrile u Puli dodijeljena su sredstva u visini </w:t>
      </w:r>
      <w:r w:rsidR="00AD4FC0" w:rsidRPr="00A61E6C">
        <w:rPr>
          <w:i/>
          <w:iCs/>
        </w:rPr>
        <w:t>447.171,58</w:t>
      </w:r>
      <w:r w:rsidRPr="00A61E6C">
        <w:rPr>
          <w:i/>
          <w:iCs/>
        </w:rPr>
        <w:t xml:space="preserve"> </w:t>
      </w:r>
      <w:r w:rsidR="00AD4FC0" w:rsidRPr="00A61E6C">
        <w:rPr>
          <w:i/>
          <w:iCs/>
        </w:rPr>
        <w:t>EUR</w:t>
      </w:r>
      <w:r w:rsidRPr="00A61E6C">
        <w:rPr>
          <w:i/>
          <w:iCs/>
        </w:rPr>
        <w:t xml:space="preserve">. </w:t>
      </w:r>
    </w:p>
    <w:p w:rsidR="001426CC" w:rsidRPr="00A61E6C" w:rsidRDefault="001426CC" w:rsidP="001426CC">
      <w:pPr>
        <w:jc w:val="both"/>
        <w:rPr>
          <w:i/>
        </w:rPr>
      </w:pPr>
      <w:r w:rsidRPr="00A61E6C">
        <w:rPr>
          <w:i/>
        </w:rPr>
        <w:t>U 202</w:t>
      </w:r>
      <w:r w:rsidR="00AD4FC0" w:rsidRPr="00A61E6C">
        <w:rPr>
          <w:i/>
        </w:rPr>
        <w:t>4</w:t>
      </w:r>
      <w:r w:rsidRPr="00A61E6C">
        <w:rPr>
          <w:i/>
        </w:rPr>
        <w:t xml:space="preserve">. planirana su sredstva u ukupnom iznosu od </w:t>
      </w:r>
      <w:r w:rsidR="00AD4FC0" w:rsidRPr="00A61E6C">
        <w:rPr>
          <w:i/>
        </w:rPr>
        <w:t xml:space="preserve">20.000,00 EUR za materijalne rashode, u 2025. planirano je 2.500,00 EUR, te u 2026. </w:t>
      </w:r>
      <w:r w:rsidR="00063628" w:rsidRPr="00A61E6C">
        <w:rPr>
          <w:i/>
        </w:rPr>
        <w:t xml:space="preserve">planirano je </w:t>
      </w:r>
      <w:r w:rsidR="00AD4FC0" w:rsidRPr="00A61E6C">
        <w:rPr>
          <w:i/>
        </w:rPr>
        <w:t>2.500,00 EUR.</w:t>
      </w:r>
    </w:p>
    <w:p w:rsidR="00C54B88" w:rsidRPr="00A61E6C" w:rsidRDefault="00C54B88" w:rsidP="00C54B88">
      <w:pPr>
        <w:jc w:val="both"/>
      </w:pPr>
    </w:p>
    <w:p w:rsidR="00A12D7F" w:rsidRPr="00A61E6C" w:rsidRDefault="00A12D7F" w:rsidP="00C54B88">
      <w:pPr>
        <w:jc w:val="both"/>
      </w:pPr>
    </w:p>
    <w:p w:rsidR="00A12D7F" w:rsidRPr="00A61E6C" w:rsidRDefault="00A12D7F" w:rsidP="00C54B88">
      <w:pPr>
        <w:jc w:val="both"/>
      </w:pPr>
    </w:p>
    <w:tbl>
      <w:tblPr>
        <w:tblStyle w:val="TableGrid"/>
        <w:tblW w:w="9402" w:type="dxa"/>
        <w:tblLayout w:type="fixed"/>
        <w:tblLook w:val="04A0" w:firstRow="1" w:lastRow="0" w:firstColumn="1" w:lastColumn="0" w:noHBand="0" w:noVBand="1"/>
      </w:tblPr>
      <w:tblGrid>
        <w:gridCol w:w="1344"/>
        <w:gridCol w:w="1486"/>
        <w:gridCol w:w="1134"/>
        <w:gridCol w:w="1134"/>
        <w:gridCol w:w="947"/>
        <w:gridCol w:w="1119"/>
        <w:gridCol w:w="1119"/>
        <w:gridCol w:w="1119"/>
      </w:tblGrid>
      <w:tr w:rsidR="00A61E6C" w:rsidRPr="00A61E6C" w:rsidTr="00530CEF">
        <w:tc>
          <w:tcPr>
            <w:tcW w:w="1344" w:type="dxa"/>
            <w:vAlign w:val="center"/>
          </w:tcPr>
          <w:p w:rsidR="00F474E6" w:rsidRPr="00A61E6C" w:rsidRDefault="00F474E6" w:rsidP="00F474E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Pokazatelj rezultata</w:t>
            </w:r>
          </w:p>
        </w:tc>
        <w:tc>
          <w:tcPr>
            <w:tcW w:w="1486" w:type="dxa"/>
            <w:vAlign w:val="center"/>
          </w:tcPr>
          <w:p w:rsidR="00F474E6" w:rsidRPr="00A61E6C" w:rsidRDefault="00F474E6" w:rsidP="00F474E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Definicija</w:t>
            </w:r>
          </w:p>
        </w:tc>
        <w:tc>
          <w:tcPr>
            <w:tcW w:w="1134" w:type="dxa"/>
            <w:vAlign w:val="center"/>
          </w:tcPr>
          <w:p w:rsidR="00F474E6" w:rsidRPr="00A61E6C" w:rsidRDefault="00F474E6" w:rsidP="00F474E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Jedinica</w:t>
            </w:r>
          </w:p>
        </w:tc>
        <w:tc>
          <w:tcPr>
            <w:tcW w:w="1134" w:type="dxa"/>
            <w:vAlign w:val="center"/>
          </w:tcPr>
          <w:p w:rsidR="00F474E6" w:rsidRPr="00A61E6C" w:rsidRDefault="00F474E6" w:rsidP="00F474E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Polazna vrijednost</w:t>
            </w:r>
          </w:p>
        </w:tc>
        <w:tc>
          <w:tcPr>
            <w:tcW w:w="947" w:type="dxa"/>
            <w:vAlign w:val="center"/>
          </w:tcPr>
          <w:p w:rsidR="00F474E6" w:rsidRPr="00A61E6C" w:rsidRDefault="00F474E6" w:rsidP="00F474E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Izvor podataka</w:t>
            </w:r>
          </w:p>
        </w:tc>
        <w:tc>
          <w:tcPr>
            <w:tcW w:w="1119" w:type="dxa"/>
          </w:tcPr>
          <w:p w:rsidR="00F474E6" w:rsidRPr="00A61E6C" w:rsidRDefault="00F474E6" w:rsidP="00F474E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Ciljana vrijednost za 202</w:t>
            </w:r>
            <w:r w:rsidR="00DF6C79" w:rsidRPr="00A61E6C">
              <w:rPr>
                <w:sz w:val="20"/>
              </w:rPr>
              <w:t>4</w:t>
            </w:r>
            <w:r w:rsidRPr="00A61E6C">
              <w:rPr>
                <w:sz w:val="20"/>
              </w:rPr>
              <w:t>.</w:t>
            </w:r>
          </w:p>
        </w:tc>
        <w:tc>
          <w:tcPr>
            <w:tcW w:w="1119" w:type="dxa"/>
          </w:tcPr>
          <w:p w:rsidR="00F474E6" w:rsidRPr="00A61E6C" w:rsidRDefault="00F474E6" w:rsidP="00F474E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Ciljana vrijednost za 202</w:t>
            </w:r>
            <w:r w:rsidR="00DF6C79" w:rsidRPr="00A61E6C">
              <w:rPr>
                <w:sz w:val="20"/>
              </w:rPr>
              <w:t>5</w:t>
            </w:r>
            <w:r w:rsidRPr="00A61E6C">
              <w:rPr>
                <w:sz w:val="20"/>
              </w:rPr>
              <w:t>.</w:t>
            </w:r>
          </w:p>
        </w:tc>
        <w:tc>
          <w:tcPr>
            <w:tcW w:w="1119" w:type="dxa"/>
          </w:tcPr>
          <w:p w:rsidR="00F474E6" w:rsidRPr="00A61E6C" w:rsidRDefault="00F474E6" w:rsidP="00F474E6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Ciljana vrijednost za 202</w:t>
            </w:r>
            <w:r w:rsidR="00DF6C79" w:rsidRPr="00A61E6C">
              <w:rPr>
                <w:sz w:val="20"/>
              </w:rPr>
              <w:t>6</w:t>
            </w:r>
            <w:r w:rsidRPr="00A61E6C">
              <w:rPr>
                <w:sz w:val="20"/>
              </w:rPr>
              <w:t>.</w:t>
            </w:r>
          </w:p>
        </w:tc>
      </w:tr>
      <w:tr w:rsidR="00A61E6C" w:rsidRPr="00A61E6C" w:rsidTr="00530CEF">
        <w:tc>
          <w:tcPr>
            <w:tcW w:w="1344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iCs/>
                <w:sz w:val="20"/>
                <w:szCs w:val="20"/>
              </w:rPr>
              <w:t xml:space="preserve">Broj studenata koji su sudjelovali u programima </w:t>
            </w:r>
            <w:r w:rsidRPr="00A61E6C">
              <w:rPr>
                <w:i/>
                <w:iCs/>
                <w:sz w:val="20"/>
                <w:szCs w:val="20"/>
              </w:rPr>
              <w:lastRenderedPageBreak/>
              <w:t xml:space="preserve">pripravništva, učenja uz radno iskustvo </w:t>
            </w:r>
          </w:p>
        </w:tc>
        <w:tc>
          <w:tcPr>
            <w:tcW w:w="1486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lastRenderedPageBreak/>
              <w:t xml:space="preserve">Jedan od ciljeva projekta je povećanje i unapređenje provedbe </w:t>
            </w:r>
            <w:r w:rsidRPr="00A61E6C">
              <w:rPr>
                <w:i/>
                <w:sz w:val="20"/>
              </w:rPr>
              <w:lastRenderedPageBreak/>
              <w:t>stručne prakse, odnosno uključenje većeg broja studenata u provedbu prakse</w:t>
            </w:r>
          </w:p>
        </w:tc>
        <w:tc>
          <w:tcPr>
            <w:tcW w:w="1134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lastRenderedPageBreak/>
              <w:t>Broj studenata</w:t>
            </w:r>
          </w:p>
        </w:tc>
        <w:tc>
          <w:tcPr>
            <w:tcW w:w="1134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0</w:t>
            </w:r>
          </w:p>
        </w:tc>
        <w:tc>
          <w:tcPr>
            <w:tcW w:w="947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Sveučilište</w:t>
            </w:r>
          </w:p>
        </w:tc>
        <w:tc>
          <w:tcPr>
            <w:tcW w:w="1119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119" w:type="dxa"/>
            <w:vAlign w:val="center"/>
          </w:tcPr>
          <w:p w:rsidR="00F474E6" w:rsidRPr="00A61E6C" w:rsidRDefault="005A31D2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500</w:t>
            </w:r>
          </w:p>
        </w:tc>
        <w:tc>
          <w:tcPr>
            <w:tcW w:w="1119" w:type="dxa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</w:p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</w:p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</w:p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</w:p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</w:p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</w:p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 xml:space="preserve">      -</w:t>
            </w:r>
          </w:p>
        </w:tc>
      </w:tr>
      <w:tr w:rsidR="00A61E6C" w:rsidRPr="00A61E6C" w:rsidTr="00530CEF">
        <w:tc>
          <w:tcPr>
            <w:tcW w:w="1344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lastRenderedPageBreak/>
              <w:t>Broj osnovanih studentskih službi namijenjenih pružanju podrške studentima</w:t>
            </w:r>
          </w:p>
        </w:tc>
        <w:tc>
          <w:tcPr>
            <w:tcW w:w="1486" w:type="dxa"/>
            <w:vAlign w:val="center"/>
          </w:tcPr>
          <w:p w:rsidR="00F474E6" w:rsidRPr="00A61E6C" w:rsidRDefault="00F474E6" w:rsidP="00F474E6">
            <w:pPr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Provedbom projekta unaprijedit će se rad Centra za razvoj karijera kao studentske službe koja pruža potporu studentima ustanove prijavitelja</w:t>
            </w:r>
          </w:p>
        </w:tc>
        <w:tc>
          <w:tcPr>
            <w:tcW w:w="1134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Broj</w:t>
            </w:r>
          </w:p>
        </w:tc>
        <w:tc>
          <w:tcPr>
            <w:tcW w:w="1134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Osnovan Centar za razvoj karijera 2016.</w:t>
            </w:r>
          </w:p>
        </w:tc>
        <w:tc>
          <w:tcPr>
            <w:tcW w:w="947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Sveučilište</w:t>
            </w:r>
          </w:p>
        </w:tc>
        <w:tc>
          <w:tcPr>
            <w:tcW w:w="1119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1</w:t>
            </w:r>
          </w:p>
        </w:tc>
        <w:tc>
          <w:tcPr>
            <w:tcW w:w="1119" w:type="dxa"/>
            <w:vAlign w:val="center"/>
          </w:tcPr>
          <w:p w:rsidR="00F474E6" w:rsidRPr="00A61E6C" w:rsidRDefault="00961BC0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1</w:t>
            </w:r>
          </w:p>
        </w:tc>
        <w:tc>
          <w:tcPr>
            <w:tcW w:w="1119" w:type="dxa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</w:p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</w:p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</w:p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</w:p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</w:p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</w:p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-</w:t>
            </w:r>
          </w:p>
        </w:tc>
      </w:tr>
      <w:tr w:rsidR="00A61E6C" w:rsidRPr="00A61E6C" w:rsidTr="00530CEF">
        <w:tc>
          <w:tcPr>
            <w:tcW w:w="1344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Broj studenata koji koriste studentske usluge</w:t>
            </w:r>
          </w:p>
        </w:tc>
        <w:tc>
          <w:tcPr>
            <w:tcW w:w="1486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 xml:space="preserve">Povećati i unaprijediti provedbu stručne prakse, provedbu terenske stručne nastave, zajedničkih istraživačkih projekata, prisutnost studenata na gostujućim predavanjima i radionicama </w:t>
            </w:r>
          </w:p>
        </w:tc>
        <w:tc>
          <w:tcPr>
            <w:tcW w:w="1134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Broj studenata</w:t>
            </w:r>
          </w:p>
        </w:tc>
        <w:tc>
          <w:tcPr>
            <w:tcW w:w="1134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0</w:t>
            </w:r>
          </w:p>
        </w:tc>
        <w:tc>
          <w:tcPr>
            <w:tcW w:w="947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Sveučilište</w:t>
            </w:r>
          </w:p>
        </w:tc>
        <w:tc>
          <w:tcPr>
            <w:tcW w:w="1119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825</w:t>
            </w:r>
          </w:p>
        </w:tc>
        <w:tc>
          <w:tcPr>
            <w:tcW w:w="1119" w:type="dxa"/>
            <w:vAlign w:val="center"/>
          </w:tcPr>
          <w:p w:rsidR="00F474E6" w:rsidRPr="00A61E6C" w:rsidRDefault="005E6901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825</w:t>
            </w:r>
          </w:p>
        </w:tc>
        <w:tc>
          <w:tcPr>
            <w:tcW w:w="1119" w:type="dxa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</w:p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</w:p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</w:p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</w:p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-</w:t>
            </w:r>
          </w:p>
        </w:tc>
      </w:tr>
      <w:tr w:rsidR="00A61E6C" w:rsidRPr="00A61E6C" w:rsidTr="00530CEF">
        <w:tc>
          <w:tcPr>
            <w:tcW w:w="1344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 xml:space="preserve">Sudionici s </w:t>
            </w:r>
            <w:proofErr w:type="spellStart"/>
            <w:r w:rsidRPr="00A61E6C">
              <w:rPr>
                <w:i/>
                <w:sz w:val="20"/>
              </w:rPr>
              <w:t>predtercijarnim</w:t>
            </w:r>
            <w:proofErr w:type="spellEnd"/>
            <w:r w:rsidRPr="00A61E6C">
              <w:rPr>
                <w:i/>
                <w:sz w:val="20"/>
              </w:rPr>
              <w:t xml:space="preserve"> obrazovanjem (ISCED 1-4)</w:t>
            </w:r>
          </w:p>
        </w:tc>
        <w:tc>
          <w:tcPr>
            <w:tcW w:w="1486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 xml:space="preserve">Cilj je u aktivnosti projekta uključiti studente preddiplomskog studija. </w:t>
            </w:r>
          </w:p>
        </w:tc>
        <w:tc>
          <w:tcPr>
            <w:tcW w:w="1134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Broj studenata</w:t>
            </w:r>
          </w:p>
        </w:tc>
        <w:tc>
          <w:tcPr>
            <w:tcW w:w="1134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0</w:t>
            </w:r>
          </w:p>
        </w:tc>
        <w:tc>
          <w:tcPr>
            <w:tcW w:w="947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Sveučilište</w:t>
            </w:r>
          </w:p>
        </w:tc>
        <w:tc>
          <w:tcPr>
            <w:tcW w:w="1119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730</w:t>
            </w:r>
          </w:p>
        </w:tc>
        <w:tc>
          <w:tcPr>
            <w:tcW w:w="1119" w:type="dxa"/>
            <w:vAlign w:val="center"/>
          </w:tcPr>
          <w:p w:rsidR="00F474E6" w:rsidRPr="00A61E6C" w:rsidRDefault="005E6901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730</w:t>
            </w:r>
          </w:p>
        </w:tc>
        <w:tc>
          <w:tcPr>
            <w:tcW w:w="1119" w:type="dxa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-</w:t>
            </w:r>
          </w:p>
        </w:tc>
      </w:tr>
      <w:tr w:rsidR="00F474E6" w:rsidRPr="00A61E6C" w:rsidTr="00530CEF">
        <w:tc>
          <w:tcPr>
            <w:tcW w:w="1344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Sudionici s tercijarnim obrazovanjem (ISCED 5-8)</w:t>
            </w:r>
          </w:p>
        </w:tc>
        <w:tc>
          <w:tcPr>
            <w:tcW w:w="1486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Cilj je u projektne aktivnosti uključiti studente diplomskih studija, nastavno i nenastavno osoblje.</w:t>
            </w:r>
          </w:p>
        </w:tc>
        <w:tc>
          <w:tcPr>
            <w:tcW w:w="1134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Broj studenata</w:t>
            </w:r>
          </w:p>
        </w:tc>
        <w:tc>
          <w:tcPr>
            <w:tcW w:w="1134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0</w:t>
            </w:r>
          </w:p>
        </w:tc>
        <w:tc>
          <w:tcPr>
            <w:tcW w:w="947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Sveučilište</w:t>
            </w:r>
          </w:p>
        </w:tc>
        <w:tc>
          <w:tcPr>
            <w:tcW w:w="1119" w:type="dxa"/>
            <w:vAlign w:val="center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148</w:t>
            </w:r>
          </w:p>
        </w:tc>
        <w:tc>
          <w:tcPr>
            <w:tcW w:w="1119" w:type="dxa"/>
            <w:vAlign w:val="center"/>
          </w:tcPr>
          <w:p w:rsidR="00F474E6" w:rsidRPr="00A61E6C" w:rsidRDefault="004C714C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148</w:t>
            </w:r>
          </w:p>
        </w:tc>
        <w:tc>
          <w:tcPr>
            <w:tcW w:w="1119" w:type="dxa"/>
          </w:tcPr>
          <w:p w:rsidR="00F474E6" w:rsidRPr="00A61E6C" w:rsidRDefault="00F474E6" w:rsidP="00F474E6">
            <w:pPr>
              <w:jc w:val="center"/>
              <w:rPr>
                <w:i/>
                <w:sz w:val="20"/>
              </w:rPr>
            </w:pPr>
            <w:r w:rsidRPr="00A61E6C">
              <w:rPr>
                <w:i/>
                <w:sz w:val="20"/>
              </w:rPr>
              <w:t>-</w:t>
            </w:r>
          </w:p>
        </w:tc>
      </w:tr>
    </w:tbl>
    <w:p w:rsidR="00C97A9D" w:rsidRPr="00A61E6C" w:rsidRDefault="00C97A9D" w:rsidP="00C97A9D">
      <w:pPr>
        <w:jc w:val="both"/>
      </w:pPr>
    </w:p>
    <w:p w:rsidR="00380EC0" w:rsidRPr="00A61E6C" w:rsidRDefault="00380EC0" w:rsidP="00893015">
      <w:pPr>
        <w:spacing w:after="200"/>
        <w:jc w:val="both"/>
        <w:rPr>
          <w:rFonts w:ascii="Calibri" w:hAnsi="Calibri" w:cs="Calibri"/>
          <w:lang w:eastAsia="hr-HR"/>
        </w:rPr>
      </w:pPr>
    </w:p>
    <w:p w:rsidR="00DF6C79" w:rsidRPr="00A61E6C" w:rsidRDefault="00DF6C79" w:rsidP="00893015">
      <w:pPr>
        <w:spacing w:after="200"/>
        <w:jc w:val="both"/>
        <w:rPr>
          <w:rFonts w:ascii="Calibri" w:hAnsi="Calibri" w:cs="Calibri"/>
          <w:lang w:eastAsia="hr-HR"/>
        </w:rPr>
      </w:pPr>
    </w:p>
    <w:p w:rsidR="00DF6C79" w:rsidRPr="00A61E6C" w:rsidRDefault="00DF6C79" w:rsidP="00893015">
      <w:pPr>
        <w:spacing w:after="200"/>
        <w:jc w:val="both"/>
        <w:rPr>
          <w:rFonts w:ascii="Calibri" w:hAnsi="Calibri" w:cs="Calibri"/>
          <w:lang w:eastAsia="hr-HR"/>
        </w:rPr>
      </w:pPr>
    </w:p>
    <w:p w:rsidR="00380EC0" w:rsidRPr="00A61E6C" w:rsidRDefault="00380EC0" w:rsidP="00380EC0">
      <w:pPr>
        <w:jc w:val="both"/>
        <w:rPr>
          <w:i/>
        </w:rPr>
      </w:pPr>
    </w:p>
    <w:p w:rsidR="007E33B2" w:rsidRPr="00A61E6C" w:rsidRDefault="007E33B2" w:rsidP="007E33B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A61E6C">
        <w:t>A679075 EU projekti Sveučilišta u Puli (iz evidencijskih prihoda)</w:t>
      </w:r>
    </w:p>
    <w:p w:rsidR="007E33B2" w:rsidRPr="00A61E6C" w:rsidRDefault="007E33B2" w:rsidP="007E33B2">
      <w:pPr>
        <w:jc w:val="both"/>
        <w:rPr>
          <w:i/>
        </w:rPr>
      </w:pPr>
    </w:p>
    <w:p w:rsidR="007E33B2" w:rsidRPr="00A61E6C" w:rsidRDefault="007E33B2" w:rsidP="007E33B2">
      <w:pPr>
        <w:jc w:val="both"/>
        <w:rPr>
          <w:i/>
        </w:rPr>
      </w:pPr>
      <w:r w:rsidRPr="00A61E6C">
        <w:rPr>
          <w:i/>
        </w:rPr>
        <w:t>Zakonske i druge pravne osnove</w:t>
      </w:r>
    </w:p>
    <w:p w:rsidR="007E33B2" w:rsidRPr="00A61E6C" w:rsidRDefault="007E33B2" w:rsidP="007E33B2">
      <w:pPr>
        <w:jc w:val="both"/>
        <w:rPr>
          <w:i/>
        </w:rPr>
      </w:pPr>
    </w:p>
    <w:p w:rsidR="009D6D16" w:rsidRPr="00A61E6C" w:rsidRDefault="007E33B2" w:rsidP="009D6D16">
      <w:pPr>
        <w:numPr>
          <w:ilvl w:val="0"/>
          <w:numId w:val="8"/>
        </w:numPr>
        <w:tabs>
          <w:tab w:val="num" w:pos="540"/>
        </w:tabs>
        <w:ind w:left="0" w:hanging="357"/>
        <w:jc w:val="both"/>
        <w:rPr>
          <w:rFonts w:cs="Arial"/>
        </w:rPr>
      </w:pPr>
      <w:r w:rsidRPr="00A61E6C">
        <w:rPr>
          <w:rFonts w:cs="Arial"/>
        </w:rPr>
        <w:t xml:space="preserve">Zakon o znanstvenoj djelatnosti i visokom obrazovanju (NN </w:t>
      </w:r>
      <w:r w:rsidRPr="00A61E6C">
        <w:t>123/03,  198/03,   105/04, 174/04, 2/07 - OUSRH, 46/07, 45/09, 63/11, 94/13, 139/13 i 101/14, 60/15, 131/17)</w:t>
      </w:r>
    </w:p>
    <w:p w:rsidR="009D6D16" w:rsidRPr="00A61E6C" w:rsidRDefault="009D6D16" w:rsidP="009D6D16">
      <w:pPr>
        <w:numPr>
          <w:ilvl w:val="0"/>
          <w:numId w:val="8"/>
        </w:numPr>
        <w:tabs>
          <w:tab w:val="num" w:pos="540"/>
        </w:tabs>
        <w:ind w:left="0" w:hanging="357"/>
        <w:jc w:val="both"/>
        <w:rPr>
          <w:rStyle w:val="Hyperlink"/>
          <w:rFonts w:cs="Arial"/>
          <w:color w:val="auto"/>
          <w:u w:val="none"/>
        </w:rPr>
      </w:pPr>
      <w:r w:rsidRPr="00A61E6C">
        <w:t xml:space="preserve">Strategija razvoja Sveučilišta Jurja Dobrile u Puli 2021.-2026., </w:t>
      </w:r>
      <w:r w:rsidRPr="00A61E6C">
        <w:rPr>
          <w:rStyle w:val="Hyperlink"/>
          <w:color w:val="auto"/>
        </w:rPr>
        <w:t>https://www.unipu.hr/_news/93569/Strategija%20razvoja%20Sveucilista%202021.%20-%202026..pdf</w:t>
      </w:r>
    </w:p>
    <w:p w:rsidR="007E33B2" w:rsidRPr="00A61E6C" w:rsidRDefault="007E33B2" w:rsidP="007E33B2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 w:cs="Arial"/>
          <w:sz w:val="24"/>
          <w:szCs w:val="24"/>
        </w:rPr>
        <w:t xml:space="preserve">Istraživačka strategija Sveučilišta Jurja Dobrile u Puli 2016.-2020. </w:t>
      </w:r>
      <w:hyperlink r:id="rId18" w:history="1">
        <w:r w:rsidRPr="00A61E6C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http://www.unipu.hr/uploads/media/Istrazivacka_strategija_SJD_2016-2020_01.pdf</w:t>
        </w:r>
      </w:hyperlink>
      <w:r w:rsidRPr="00A61E6C">
        <w:rPr>
          <w:rFonts w:ascii="Times New Roman" w:hAnsi="Times New Roman"/>
          <w:sz w:val="24"/>
          <w:szCs w:val="24"/>
        </w:rPr>
        <w:t xml:space="preserve"> i dopune 2018.</w:t>
      </w:r>
      <w:r w:rsidR="009D6D16" w:rsidRPr="00A61E6C">
        <w:rPr>
          <w:rFonts w:ascii="Times New Roman" w:hAnsi="Times New Roman"/>
          <w:sz w:val="24"/>
          <w:szCs w:val="24"/>
        </w:rPr>
        <w:t>-2022.</w:t>
      </w:r>
    </w:p>
    <w:p w:rsidR="007E33B2" w:rsidRPr="00A61E6C" w:rsidRDefault="007E33B2" w:rsidP="007E33B2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 w:cs="Times New Roman"/>
          <w:sz w:val="24"/>
          <w:szCs w:val="24"/>
        </w:rPr>
        <w:t>Europska strategija za pametan, održiv i uključiv rast - Europa 2020., (03͘ ožujak 2010.) http://www.strukturnifondovi.hr/UserDocsImages/Documents/Strukturni%20fondov i%202014.%20%E2%80%93%202020/eu_hr.pdf</w:t>
      </w:r>
    </w:p>
    <w:p w:rsidR="007E33B2" w:rsidRPr="00A61E6C" w:rsidRDefault="007E33B2" w:rsidP="007E33B2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 w:cs="Times New Roman"/>
          <w:sz w:val="24"/>
          <w:szCs w:val="24"/>
        </w:rPr>
        <w:t>Sporazum o partnerstvu između Republike Hrvatske i Europske komisije za korištenje Europskih strukturnih i investicijskih fondova za rast i radna mjesta u razdoblju 2014.-2020., (listopad 2014.) http://www.esf.hr/wordpress/wp-content/uploads/2015/02/GLAVNI-DOKUMENT_Sporazum_o_partnerstvu_HR.pdf</w:t>
      </w:r>
    </w:p>
    <w:p w:rsidR="007E33B2" w:rsidRPr="00A61E6C" w:rsidRDefault="007E33B2" w:rsidP="007E33B2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 w:cs="Times New Roman"/>
          <w:sz w:val="24"/>
          <w:szCs w:val="24"/>
        </w:rPr>
        <w:t xml:space="preserve">Plan razvoja istraživačke i inovacijske infrastrukture u Republici Hrvatskoj, (01. travanj 2014.) </w:t>
      </w:r>
      <w:hyperlink r:id="rId19" w:history="1">
        <w:r w:rsidRPr="00A61E6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http://public.mzos.hr/Default.aspx?art=13111</w:t>
        </w:r>
      </w:hyperlink>
    </w:p>
    <w:p w:rsidR="007E33B2" w:rsidRPr="00A61E6C" w:rsidRDefault="007E33B2" w:rsidP="007E33B2">
      <w:pPr>
        <w:pStyle w:val="ListParagraph"/>
        <w:numPr>
          <w:ilvl w:val="0"/>
          <w:numId w:val="8"/>
        </w:numPr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 w:cs="Times New Roman"/>
          <w:sz w:val="24"/>
          <w:szCs w:val="24"/>
        </w:rPr>
        <w:t>Strategija poticanja inovacija Republike Hrvatske 2014.-2020., (17. prosinac 2014.)</w:t>
      </w:r>
    </w:p>
    <w:p w:rsidR="007E33B2" w:rsidRPr="00A61E6C" w:rsidRDefault="007E33B2" w:rsidP="007E33B2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 w:cs="Times New Roman"/>
          <w:sz w:val="24"/>
          <w:szCs w:val="24"/>
        </w:rPr>
        <w:t>http://www.mingo.hr/public/documents/Strategija_poticanja_inovacija_18_12_14.pdf</w:t>
      </w:r>
    </w:p>
    <w:p w:rsidR="007E33B2" w:rsidRPr="00A61E6C" w:rsidRDefault="007E33B2" w:rsidP="007E33B2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1E6C">
        <w:rPr>
          <w:rFonts w:ascii="Times New Roman" w:hAnsi="Times New Roman" w:cs="Calibri"/>
          <w:sz w:val="24"/>
          <w:szCs w:val="24"/>
          <w:lang w:val="en-US"/>
        </w:rPr>
        <w:t xml:space="preserve">Erasmus </w:t>
      </w:r>
      <w:proofErr w:type="spellStart"/>
      <w:r w:rsidRPr="00A61E6C">
        <w:rPr>
          <w:rFonts w:ascii="Times New Roman" w:hAnsi="Times New Roman" w:cs="Calibri"/>
          <w:sz w:val="24"/>
          <w:szCs w:val="24"/>
          <w:lang w:val="en-US"/>
        </w:rPr>
        <w:t>međuinstitucijski</w:t>
      </w:r>
      <w:proofErr w:type="spellEnd"/>
      <w:r w:rsidRPr="00A61E6C">
        <w:rPr>
          <w:rFonts w:ascii="Times New Roman" w:hAnsi="Times New Roman" w:cs="Calibri"/>
          <w:sz w:val="24"/>
          <w:szCs w:val="24"/>
          <w:lang w:val="en-US"/>
        </w:rPr>
        <w:t xml:space="preserve"> </w:t>
      </w:r>
      <w:proofErr w:type="spellStart"/>
      <w:r w:rsidRPr="00A61E6C">
        <w:rPr>
          <w:rFonts w:ascii="Times New Roman" w:hAnsi="Times New Roman" w:cs="Calibri"/>
          <w:sz w:val="24"/>
          <w:szCs w:val="24"/>
          <w:lang w:val="en-US"/>
        </w:rPr>
        <w:t>sporazumi</w:t>
      </w:r>
      <w:proofErr w:type="spellEnd"/>
    </w:p>
    <w:p w:rsidR="007E33B2" w:rsidRPr="00A61E6C" w:rsidRDefault="007E33B2" w:rsidP="007E33B2">
      <w:pPr>
        <w:jc w:val="both"/>
        <w:rPr>
          <w:i/>
        </w:rPr>
      </w:pPr>
    </w:p>
    <w:p w:rsidR="007E33B2" w:rsidRPr="00A61E6C" w:rsidRDefault="007E33B2" w:rsidP="007E33B2">
      <w:pPr>
        <w:pStyle w:val="ListParagraph"/>
        <w:jc w:val="both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3"/>
        <w:gridCol w:w="1197"/>
        <w:gridCol w:w="1168"/>
        <w:gridCol w:w="1152"/>
        <w:gridCol w:w="1141"/>
        <w:gridCol w:w="1060"/>
        <w:gridCol w:w="1111"/>
      </w:tblGrid>
      <w:tr w:rsidR="00A61E6C" w:rsidRPr="00A61E6C" w:rsidTr="009203D1">
        <w:tc>
          <w:tcPr>
            <w:tcW w:w="2233" w:type="dxa"/>
            <w:shd w:val="clear" w:color="auto" w:fill="D0CECE" w:themeFill="background2" w:themeFillShade="E6"/>
          </w:tcPr>
          <w:p w:rsidR="007E33B2" w:rsidRPr="00A61E6C" w:rsidRDefault="007E33B2" w:rsidP="0079091F">
            <w:pPr>
              <w:jc w:val="both"/>
            </w:pPr>
            <w:bookmarkStart w:id="1" w:name="_Hlk82615381"/>
          </w:p>
          <w:p w:rsidR="007E33B2" w:rsidRPr="00A61E6C" w:rsidRDefault="007E33B2" w:rsidP="0079091F">
            <w:pPr>
              <w:jc w:val="both"/>
            </w:pPr>
          </w:p>
        </w:tc>
        <w:tc>
          <w:tcPr>
            <w:tcW w:w="1197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</w:pPr>
            <w:r w:rsidRPr="00A61E6C">
              <w:t>Izvršenje 20</w:t>
            </w:r>
            <w:r w:rsidR="008B246E" w:rsidRPr="00A61E6C">
              <w:t>2</w:t>
            </w:r>
            <w:r w:rsidR="003C4581" w:rsidRPr="00A61E6C">
              <w:t>2</w:t>
            </w:r>
            <w:r w:rsidRPr="00A61E6C">
              <w:t>.</w:t>
            </w:r>
          </w:p>
        </w:tc>
        <w:tc>
          <w:tcPr>
            <w:tcW w:w="1168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</w:pPr>
            <w:r w:rsidRPr="00A61E6C">
              <w:t>Plan 202</w:t>
            </w:r>
            <w:r w:rsidR="003C4581" w:rsidRPr="00A61E6C">
              <w:t>3</w:t>
            </w:r>
            <w:r w:rsidRPr="00A61E6C">
              <w:t>.</w:t>
            </w:r>
          </w:p>
        </w:tc>
        <w:tc>
          <w:tcPr>
            <w:tcW w:w="1152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</w:pPr>
            <w:r w:rsidRPr="00A61E6C">
              <w:t>Plan 202</w:t>
            </w:r>
            <w:r w:rsidR="003E6312" w:rsidRPr="00A61E6C">
              <w:t>4</w:t>
            </w:r>
            <w:r w:rsidRPr="00A61E6C">
              <w:t>.</w:t>
            </w:r>
          </w:p>
        </w:tc>
        <w:tc>
          <w:tcPr>
            <w:tcW w:w="1141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</w:pPr>
            <w:r w:rsidRPr="00A61E6C">
              <w:t>Plan 202</w:t>
            </w:r>
            <w:r w:rsidR="003E6312" w:rsidRPr="00A61E6C">
              <w:t>5</w:t>
            </w:r>
            <w:r w:rsidRPr="00A61E6C">
              <w:t>.</w:t>
            </w:r>
          </w:p>
        </w:tc>
        <w:tc>
          <w:tcPr>
            <w:tcW w:w="1060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</w:pPr>
            <w:r w:rsidRPr="00A61E6C">
              <w:t>Plan 202</w:t>
            </w:r>
            <w:r w:rsidR="003E6312" w:rsidRPr="00A61E6C">
              <w:t>6</w:t>
            </w:r>
            <w:r w:rsidRPr="00A61E6C">
              <w:t>.</w:t>
            </w:r>
          </w:p>
        </w:tc>
        <w:tc>
          <w:tcPr>
            <w:tcW w:w="1111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</w:pPr>
            <w:r w:rsidRPr="00A61E6C">
              <w:t>Indeks 2</w:t>
            </w:r>
            <w:r w:rsidR="003E6312" w:rsidRPr="00A61E6C">
              <w:t>4</w:t>
            </w:r>
            <w:r w:rsidRPr="00A61E6C">
              <w:t>./2</w:t>
            </w:r>
            <w:r w:rsidR="003E6312" w:rsidRPr="00A61E6C">
              <w:t>3</w:t>
            </w:r>
            <w:r w:rsidRPr="00A61E6C">
              <w:t>.</w:t>
            </w:r>
          </w:p>
        </w:tc>
      </w:tr>
      <w:tr w:rsidR="00A61E6C" w:rsidRPr="00A61E6C" w:rsidTr="009203D1">
        <w:tc>
          <w:tcPr>
            <w:tcW w:w="2233" w:type="dxa"/>
          </w:tcPr>
          <w:p w:rsidR="007E33B2" w:rsidRPr="00A61E6C" w:rsidRDefault="007E33B2" w:rsidP="0079091F">
            <w:r w:rsidRPr="00A61E6C">
              <w:t>Šifra aktivnosti/ programa</w:t>
            </w:r>
          </w:p>
          <w:p w:rsidR="007E33B2" w:rsidRPr="00A61E6C" w:rsidRDefault="007E33B2" w:rsidP="0079091F">
            <w:r w:rsidRPr="00A61E6C">
              <w:t>A679075</w:t>
            </w:r>
          </w:p>
          <w:p w:rsidR="007E33B2" w:rsidRPr="00A61E6C" w:rsidRDefault="007E33B2" w:rsidP="0079091F">
            <w:r w:rsidRPr="00A61E6C">
              <w:t>EU projekti Sveučilišta u Puli (iz evidencijskih prihoda)</w:t>
            </w:r>
          </w:p>
        </w:tc>
        <w:tc>
          <w:tcPr>
            <w:tcW w:w="1197" w:type="dxa"/>
            <w:shd w:val="clear" w:color="auto" w:fill="auto"/>
          </w:tcPr>
          <w:p w:rsidR="007E33B2" w:rsidRPr="00A61E6C" w:rsidRDefault="009B66DF" w:rsidP="00810045">
            <w:pPr>
              <w:jc w:val="center"/>
              <w:rPr>
                <w:highlight w:val="cyan"/>
              </w:rPr>
            </w:pPr>
            <w:r>
              <w:t>419.402</w:t>
            </w:r>
            <w:r w:rsidR="00AD6A76" w:rsidRPr="00A61E6C">
              <w:t xml:space="preserve"> EUR</w:t>
            </w:r>
          </w:p>
        </w:tc>
        <w:tc>
          <w:tcPr>
            <w:tcW w:w="1168" w:type="dxa"/>
          </w:tcPr>
          <w:p w:rsidR="007E33B2" w:rsidRPr="00A61E6C" w:rsidRDefault="003C4581" w:rsidP="00810045">
            <w:pPr>
              <w:jc w:val="center"/>
            </w:pPr>
            <w:r w:rsidRPr="00A61E6C">
              <w:t>478.260 EUR</w:t>
            </w:r>
          </w:p>
        </w:tc>
        <w:tc>
          <w:tcPr>
            <w:tcW w:w="1152" w:type="dxa"/>
          </w:tcPr>
          <w:p w:rsidR="007E33B2" w:rsidRPr="00A61E6C" w:rsidRDefault="008722E8" w:rsidP="00810045">
            <w:pPr>
              <w:jc w:val="center"/>
            </w:pPr>
            <w:r w:rsidRPr="00A61E6C">
              <w:t>554.262</w:t>
            </w:r>
            <w:r w:rsidR="002F7F1F" w:rsidRPr="00A61E6C">
              <w:t xml:space="preserve"> EUR</w:t>
            </w:r>
          </w:p>
        </w:tc>
        <w:tc>
          <w:tcPr>
            <w:tcW w:w="1141" w:type="dxa"/>
          </w:tcPr>
          <w:p w:rsidR="007E33B2" w:rsidRPr="00A61E6C" w:rsidRDefault="009B66DF" w:rsidP="00810045">
            <w:pPr>
              <w:jc w:val="center"/>
            </w:pPr>
            <w:r>
              <w:t>154.877</w:t>
            </w:r>
            <w:r w:rsidR="002F7F1F" w:rsidRPr="00A61E6C">
              <w:t xml:space="preserve"> EUR</w:t>
            </w:r>
          </w:p>
        </w:tc>
        <w:tc>
          <w:tcPr>
            <w:tcW w:w="1060" w:type="dxa"/>
          </w:tcPr>
          <w:p w:rsidR="007E33B2" w:rsidRPr="00A61E6C" w:rsidRDefault="009B66DF" w:rsidP="00490782">
            <w:pPr>
              <w:jc w:val="center"/>
            </w:pPr>
            <w:r>
              <w:t>209.212</w:t>
            </w:r>
            <w:bookmarkStart w:id="2" w:name="_GoBack"/>
            <w:bookmarkEnd w:id="2"/>
            <w:r w:rsidR="003E6312" w:rsidRPr="00A61E6C">
              <w:t xml:space="preserve"> EUR</w:t>
            </w:r>
          </w:p>
        </w:tc>
        <w:tc>
          <w:tcPr>
            <w:tcW w:w="1111" w:type="dxa"/>
          </w:tcPr>
          <w:p w:rsidR="007E33B2" w:rsidRPr="00A61E6C" w:rsidRDefault="008722E8" w:rsidP="00810045">
            <w:pPr>
              <w:jc w:val="center"/>
            </w:pPr>
            <w:r w:rsidRPr="00A61E6C">
              <w:t>116</w:t>
            </w:r>
          </w:p>
        </w:tc>
      </w:tr>
    </w:tbl>
    <w:bookmarkEnd w:id="1"/>
    <w:p w:rsidR="000E05C7" w:rsidRPr="00A61E6C" w:rsidRDefault="000E05C7" w:rsidP="000E05C7">
      <w:pPr>
        <w:spacing w:before="240"/>
        <w:jc w:val="both"/>
        <w:rPr>
          <w:i/>
        </w:rPr>
      </w:pPr>
      <w:r w:rsidRPr="00A61E6C">
        <w:rPr>
          <w:i/>
        </w:rPr>
        <w:t xml:space="preserve">Ova aktivnost/ projekt sastoji se od sljedećih </w:t>
      </w:r>
      <w:proofErr w:type="spellStart"/>
      <w:r w:rsidRPr="00A61E6C">
        <w:rPr>
          <w:i/>
        </w:rPr>
        <w:t>podprojekata</w:t>
      </w:r>
      <w:proofErr w:type="spellEnd"/>
      <w:r w:rsidRPr="00A61E6C">
        <w:rPr>
          <w:i/>
        </w:rPr>
        <w:t>:</w:t>
      </w:r>
    </w:p>
    <w:p w:rsidR="00104634" w:rsidRPr="00A61E6C" w:rsidRDefault="00104634" w:rsidP="000E05C7">
      <w:pPr>
        <w:spacing w:before="240"/>
        <w:jc w:val="both"/>
        <w:rPr>
          <w:i/>
        </w:rPr>
      </w:pPr>
    </w:p>
    <w:p w:rsidR="0097055A" w:rsidRPr="00A61E6C" w:rsidRDefault="007260DD" w:rsidP="0097055A">
      <w:pPr>
        <w:pStyle w:val="ListParagraph"/>
        <w:numPr>
          <w:ilvl w:val="0"/>
          <w:numId w:val="22"/>
        </w:numPr>
        <w:rPr>
          <w:rFonts w:ascii="Times New Roman" w:hAnsi="Times New Roman"/>
          <w:i/>
          <w:szCs w:val="24"/>
        </w:rPr>
      </w:pPr>
      <w:r w:rsidRPr="00A61E6C">
        <w:rPr>
          <w:rFonts w:ascii="Times New Roman" w:hAnsi="Times New Roman" w:cs="Courier New"/>
          <w:i/>
          <w:shd w:val="clear" w:color="auto" w:fill="FFFFFF"/>
        </w:rPr>
        <w:t>A679075.0</w:t>
      </w:r>
      <w:r w:rsidR="00EC5FA1" w:rsidRPr="00A61E6C">
        <w:rPr>
          <w:rFonts w:ascii="Times New Roman" w:hAnsi="Times New Roman" w:cs="Courier New"/>
          <w:i/>
          <w:shd w:val="clear" w:color="auto" w:fill="FFFFFF"/>
        </w:rPr>
        <w:t>2</w:t>
      </w:r>
      <w:r w:rsidR="00026DBD" w:rsidRPr="00A61E6C">
        <w:rPr>
          <w:rFonts w:ascii="Times New Roman" w:hAnsi="Times New Roman" w:cs="Courier New"/>
          <w:i/>
          <w:shd w:val="clear" w:color="auto" w:fill="FFFFFF"/>
        </w:rPr>
        <w:t>7</w:t>
      </w:r>
      <w:r w:rsidRPr="00A61E6C">
        <w:rPr>
          <w:rFonts w:ascii="Times New Roman" w:hAnsi="Times New Roman" w:cs="Courier New"/>
          <w:i/>
          <w:shd w:val="clear" w:color="auto" w:fill="FFFFFF"/>
        </w:rPr>
        <w:t xml:space="preserve"> </w:t>
      </w:r>
      <w:r w:rsidR="00023F19" w:rsidRPr="00A61E6C">
        <w:rPr>
          <w:rFonts w:ascii="Times New Roman" w:hAnsi="Times New Roman" w:cs="Courier New"/>
          <w:i/>
          <w:shd w:val="clear" w:color="auto" w:fill="FFFFFF"/>
        </w:rPr>
        <w:t>ERASMUS+ K203</w:t>
      </w:r>
      <w:r w:rsidR="00837A3E" w:rsidRPr="00A61E6C">
        <w:rPr>
          <w:rFonts w:ascii="Times New Roman" w:hAnsi="Times New Roman" w:cs="Courier New"/>
          <w:i/>
          <w:shd w:val="clear" w:color="auto" w:fill="FFFFFF"/>
        </w:rPr>
        <w:t>-078646</w:t>
      </w:r>
      <w:r w:rsidR="00023F19" w:rsidRPr="00A61E6C">
        <w:rPr>
          <w:rFonts w:ascii="Times New Roman" w:hAnsi="Times New Roman" w:cs="Courier New"/>
          <w:i/>
          <w:shd w:val="clear" w:color="auto" w:fill="FFFFFF"/>
        </w:rPr>
        <w:t xml:space="preserve"> </w:t>
      </w:r>
      <w:proofErr w:type="spellStart"/>
      <w:r w:rsidRPr="00A61E6C">
        <w:rPr>
          <w:rFonts w:ascii="Times New Roman" w:hAnsi="Times New Roman" w:cs="Courier New"/>
          <w:i/>
          <w:shd w:val="clear" w:color="auto" w:fill="FFFFFF"/>
        </w:rPr>
        <w:t>Promoting</w:t>
      </w:r>
      <w:proofErr w:type="spellEnd"/>
      <w:r w:rsidRPr="00A61E6C">
        <w:rPr>
          <w:rFonts w:ascii="Times New Roman" w:hAnsi="Times New Roman" w:cs="Courier New"/>
          <w:i/>
          <w:shd w:val="clear" w:color="auto" w:fill="FFFFFF"/>
        </w:rPr>
        <w:t xml:space="preserve"> </w:t>
      </w:r>
      <w:proofErr w:type="spellStart"/>
      <w:r w:rsidRPr="00A61E6C">
        <w:rPr>
          <w:rFonts w:ascii="Times New Roman" w:hAnsi="Times New Roman" w:cs="Courier New"/>
          <w:i/>
          <w:shd w:val="clear" w:color="auto" w:fill="FFFFFF"/>
        </w:rPr>
        <w:t>Sustainability</w:t>
      </w:r>
      <w:proofErr w:type="spellEnd"/>
      <w:r w:rsidRPr="00A61E6C">
        <w:rPr>
          <w:rFonts w:ascii="Times New Roman" w:hAnsi="Times New Roman" w:cs="Courier New"/>
          <w:i/>
          <w:shd w:val="clear" w:color="auto" w:fill="FFFFFF"/>
        </w:rPr>
        <w:t xml:space="preserve"> as a </w:t>
      </w:r>
      <w:proofErr w:type="spellStart"/>
      <w:r w:rsidRPr="00A61E6C">
        <w:rPr>
          <w:rFonts w:ascii="Times New Roman" w:hAnsi="Times New Roman" w:cs="Courier New"/>
          <w:i/>
          <w:shd w:val="clear" w:color="auto" w:fill="FFFFFF"/>
        </w:rPr>
        <w:t>Fundamental</w:t>
      </w:r>
      <w:proofErr w:type="spellEnd"/>
      <w:r w:rsidR="00726346" w:rsidRPr="00A61E6C">
        <w:rPr>
          <w:rFonts w:ascii="Times New Roman" w:hAnsi="Times New Roman" w:cs="Courier New"/>
          <w:i/>
          <w:shd w:val="clear" w:color="auto" w:fill="FFFFFF"/>
        </w:rPr>
        <w:t xml:space="preserve"> </w:t>
      </w:r>
      <w:r w:rsidRPr="00A61E6C">
        <w:rPr>
          <w:rFonts w:ascii="Times New Roman" w:hAnsi="Times New Roman" w:cs="Courier New"/>
          <w:i/>
          <w:shd w:val="clear" w:color="auto" w:fill="FFFFFF"/>
        </w:rPr>
        <w:t xml:space="preserve">Driver </w:t>
      </w:r>
      <w:proofErr w:type="spellStart"/>
      <w:r w:rsidRPr="00A61E6C">
        <w:rPr>
          <w:rFonts w:ascii="Times New Roman" w:hAnsi="Times New Roman" w:cs="Courier New"/>
          <w:i/>
          <w:shd w:val="clear" w:color="auto" w:fill="FFFFFF"/>
        </w:rPr>
        <w:t>in</w:t>
      </w:r>
      <w:proofErr w:type="spellEnd"/>
      <w:r w:rsidRPr="00A61E6C">
        <w:rPr>
          <w:rFonts w:ascii="Times New Roman" w:hAnsi="Times New Roman" w:cs="Courier New"/>
          <w:i/>
          <w:shd w:val="clear" w:color="auto" w:fill="FFFFFF"/>
        </w:rPr>
        <w:t xml:space="preserve"> Software Development Training </w:t>
      </w:r>
      <w:proofErr w:type="spellStart"/>
      <w:r w:rsidRPr="00A61E6C">
        <w:rPr>
          <w:rFonts w:ascii="Times New Roman" w:hAnsi="Times New Roman" w:cs="Courier New"/>
          <w:i/>
          <w:shd w:val="clear" w:color="auto" w:fill="FFFFFF"/>
        </w:rPr>
        <w:t>and</w:t>
      </w:r>
      <w:proofErr w:type="spellEnd"/>
      <w:r w:rsidRPr="00A61E6C">
        <w:rPr>
          <w:rFonts w:ascii="Times New Roman" w:hAnsi="Times New Roman" w:cs="Courier New"/>
          <w:i/>
          <w:shd w:val="clear" w:color="auto" w:fill="FFFFFF"/>
        </w:rPr>
        <w:t xml:space="preserve"> </w:t>
      </w:r>
      <w:proofErr w:type="spellStart"/>
      <w:r w:rsidRPr="00A61E6C">
        <w:rPr>
          <w:rFonts w:ascii="Times New Roman" w:hAnsi="Times New Roman" w:cs="Courier New"/>
          <w:i/>
          <w:shd w:val="clear" w:color="auto" w:fill="FFFFFF"/>
        </w:rPr>
        <w:t>Education</w:t>
      </w:r>
      <w:proofErr w:type="spellEnd"/>
    </w:p>
    <w:p w:rsidR="0097055A" w:rsidRPr="00A61E6C" w:rsidRDefault="00023F19" w:rsidP="0097055A">
      <w:pPr>
        <w:pStyle w:val="ListParagraph"/>
        <w:ind w:left="1068"/>
        <w:rPr>
          <w:rFonts w:ascii="Times New Roman" w:hAnsi="Times New Roman"/>
          <w:i/>
          <w:szCs w:val="24"/>
        </w:rPr>
      </w:pPr>
      <w:r w:rsidRPr="00A61E6C">
        <w:rPr>
          <w:rFonts w:ascii="Times New Roman" w:hAnsi="Times New Roman" w:cs="Courier New"/>
          <w:i/>
          <w:shd w:val="clear" w:color="auto" w:fill="FFFFFF"/>
        </w:rPr>
        <w:t xml:space="preserve">Sredstva u visini </w:t>
      </w:r>
      <w:r w:rsidR="002639E0" w:rsidRPr="00A61E6C">
        <w:rPr>
          <w:rFonts w:ascii="Times New Roman" w:hAnsi="Times New Roman" w:cs="Courier New"/>
          <w:i/>
          <w:shd w:val="clear" w:color="auto" w:fill="FFFFFF"/>
        </w:rPr>
        <w:t>3.256</w:t>
      </w:r>
      <w:r w:rsidR="00015AED" w:rsidRPr="00A61E6C">
        <w:rPr>
          <w:rFonts w:ascii="Times New Roman" w:hAnsi="Times New Roman" w:cs="Courier New"/>
          <w:i/>
          <w:shd w:val="clear" w:color="auto" w:fill="FFFFFF"/>
        </w:rPr>
        <w:t xml:space="preserve"> EUR</w:t>
      </w:r>
      <w:r w:rsidR="006277F1" w:rsidRPr="00A61E6C">
        <w:rPr>
          <w:rFonts w:ascii="Times New Roman" w:hAnsi="Times New Roman" w:cs="Courier New"/>
          <w:i/>
          <w:shd w:val="clear" w:color="auto" w:fill="FFFFFF"/>
        </w:rPr>
        <w:t>, izvor 51</w:t>
      </w:r>
      <w:r w:rsidRPr="00A61E6C">
        <w:rPr>
          <w:rFonts w:ascii="Times New Roman" w:hAnsi="Times New Roman" w:cs="Courier New"/>
          <w:i/>
          <w:shd w:val="clear" w:color="auto" w:fill="FFFFFF"/>
        </w:rPr>
        <w:t xml:space="preserve"> planirana su u 202</w:t>
      </w:r>
      <w:r w:rsidR="002639E0" w:rsidRPr="00A61E6C">
        <w:rPr>
          <w:rFonts w:ascii="Times New Roman" w:hAnsi="Times New Roman" w:cs="Courier New"/>
          <w:i/>
          <w:shd w:val="clear" w:color="auto" w:fill="FFFFFF"/>
        </w:rPr>
        <w:t>4</w:t>
      </w:r>
      <w:r w:rsidRPr="00A61E6C">
        <w:rPr>
          <w:rFonts w:ascii="Times New Roman" w:hAnsi="Times New Roman" w:cs="Courier New"/>
          <w:i/>
          <w:shd w:val="clear" w:color="auto" w:fill="FFFFFF"/>
        </w:rPr>
        <w:t>.</w:t>
      </w:r>
      <w:r w:rsidR="00015AED" w:rsidRPr="00A61E6C">
        <w:rPr>
          <w:rFonts w:ascii="Times New Roman" w:hAnsi="Times New Roman" w:cs="Courier New"/>
          <w:i/>
          <w:shd w:val="clear" w:color="auto" w:fill="FFFFFF"/>
        </w:rPr>
        <w:t>g</w:t>
      </w:r>
      <w:r w:rsidR="002639E0" w:rsidRPr="00A61E6C">
        <w:rPr>
          <w:rFonts w:ascii="Times New Roman" w:hAnsi="Times New Roman" w:cs="Courier New"/>
          <w:i/>
          <w:shd w:val="clear" w:color="auto" w:fill="FFFFFF"/>
        </w:rPr>
        <w:t xml:space="preserve"> te isti iznos u 2025. i 2026. g.</w:t>
      </w:r>
      <w:r w:rsidR="00015AED" w:rsidRPr="00A61E6C">
        <w:rPr>
          <w:rFonts w:ascii="Times New Roman" w:hAnsi="Times New Roman" w:cs="Courier New"/>
          <w:i/>
          <w:shd w:val="clear" w:color="auto" w:fill="FFFFFF"/>
        </w:rPr>
        <w:t>.</w:t>
      </w:r>
      <w:r w:rsidR="00552799" w:rsidRPr="00A61E6C">
        <w:rPr>
          <w:rFonts w:ascii="Times New Roman" w:hAnsi="Times New Roman" w:cs="Courier New"/>
          <w:i/>
          <w:shd w:val="clear" w:color="auto" w:fill="FFFFFF"/>
        </w:rPr>
        <w:t xml:space="preserve"> </w:t>
      </w:r>
    </w:p>
    <w:p w:rsidR="00DA1011" w:rsidRPr="00A61E6C" w:rsidRDefault="00DA1011" w:rsidP="00286CF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>A679075.033 CACAO</w:t>
      </w:r>
    </w:p>
    <w:p w:rsidR="00167072" w:rsidRPr="00A61E6C" w:rsidRDefault="00167072" w:rsidP="00167072">
      <w:pPr>
        <w:pStyle w:val="ListParagraph"/>
        <w:ind w:left="1068"/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 xml:space="preserve">Sredstva u visini </w:t>
      </w:r>
      <w:r w:rsidR="002639E0" w:rsidRPr="00A61E6C">
        <w:rPr>
          <w:rFonts w:ascii="Times New Roman" w:hAnsi="Times New Roman" w:cs="Times New Roman (Body CS)"/>
        </w:rPr>
        <w:t>od</w:t>
      </w:r>
      <w:r w:rsidRPr="00A61E6C">
        <w:rPr>
          <w:rFonts w:ascii="Times New Roman" w:hAnsi="Times New Roman" w:cs="Times New Roman (Body CS)"/>
        </w:rPr>
        <w:t xml:space="preserve"> 52.309 EUR </w:t>
      </w:r>
      <w:r w:rsidR="002639E0" w:rsidRPr="00A61E6C">
        <w:rPr>
          <w:rFonts w:ascii="Times New Roman" w:hAnsi="Times New Roman" w:cs="Times New Roman (Body CS)"/>
        </w:rPr>
        <w:t xml:space="preserve">planirana su u </w:t>
      </w:r>
      <w:r w:rsidRPr="00A61E6C">
        <w:rPr>
          <w:rFonts w:ascii="Times New Roman" w:hAnsi="Times New Roman" w:cs="Times New Roman (Body CS)"/>
        </w:rPr>
        <w:t>2024.g.</w:t>
      </w:r>
    </w:p>
    <w:p w:rsidR="00DA1011" w:rsidRPr="00A61E6C" w:rsidRDefault="00DA1011" w:rsidP="00DA101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 xml:space="preserve">A679075.028 projekt Jean </w:t>
      </w:r>
      <w:proofErr w:type="spellStart"/>
      <w:r w:rsidRPr="00A61E6C">
        <w:rPr>
          <w:rFonts w:ascii="Times New Roman" w:hAnsi="Times New Roman" w:cs="Times New Roman (Body CS)"/>
        </w:rPr>
        <w:t>Mounet</w:t>
      </w:r>
      <w:proofErr w:type="spellEnd"/>
    </w:p>
    <w:p w:rsidR="00EE3FE2" w:rsidRPr="00A61E6C" w:rsidRDefault="00EE3FE2" w:rsidP="00EE3FE2">
      <w:pPr>
        <w:pStyle w:val="ListParagraph"/>
        <w:ind w:left="1068"/>
        <w:jc w:val="both"/>
        <w:rPr>
          <w:rFonts w:ascii="Times New Roman" w:hAnsi="Times New Roman" w:cs="Times New Roman (Body CS)"/>
        </w:rPr>
      </w:pPr>
      <w:bookmarkStart w:id="3" w:name="_Hlk115174555"/>
      <w:r w:rsidRPr="00A61E6C">
        <w:rPr>
          <w:rFonts w:ascii="Times New Roman" w:hAnsi="Times New Roman" w:cs="Times New Roman (Body CS)"/>
        </w:rPr>
        <w:t xml:space="preserve">Sredstva u visini od 4.069 EUR </w:t>
      </w:r>
      <w:r w:rsidR="002965E2" w:rsidRPr="00A61E6C">
        <w:rPr>
          <w:rFonts w:ascii="Times New Roman" w:hAnsi="Times New Roman" w:cs="Times New Roman (Body CS)"/>
        </w:rPr>
        <w:t xml:space="preserve">planirana su u </w:t>
      </w:r>
      <w:proofErr w:type="spellStart"/>
      <w:r w:rsidRPr="00A61E6C">
        <w:rPr>
          <w:rFonts w:ascii="Times New Roman" w:hAnsi="Times New Roman" w:cs="Times New Roman (Body CS)"/>
        </w:rPr>
        <w:t>u</w:t>
      </w:r>
      <w:proofErr w:type="spellEnd"/>
      <w:r w:rsidRPr="00A61E6C">
        <w:rPr>
          <w:rFonts w:ascii="Times New Roman" w:hAnsi="Times New Roman" w:cs="Times New Roman (Body CS)"/>
        </w:rPr>
        <w:t xml:space="preserve"> 2024.g</w:t>
      </w:r>
    </w:p>
    <w:bookmarkEnd w:id="3"/>
    <w:p w:rsidR="00DA1011" w:rsidRPr="00A61E6C" w:rsidRDefault="00DA1011" w:rsidP="00DA101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>A679075.0</w:t>
      </w:r>
      <w:r w:rsidR="002965E2" w:rsidRPr="00A61E6C">
        <w:rPr>
          <w:rFonts w:ascii="Times New Roman" w:hAnsi="Times New Roman" w:cs="Times New Roman (Body CS)"/>
        </w:rPr>
        <w:t>29</w:t>
      </w:r>
      <w:r w:rsidRPr="00A61E6C">
        <w:rPr>
          <w:rFonts w:ascii="Times New Roman" w:hAnsi="Times New Roman" w:cs="Times New Roman (Body CS)"/>
        </w:rPr>
        <w:t xml:space="preserve"> projekt Blue </w:t>
      </w:r>
      <w:proofErr w:type="spellStart"/>
      <w:r w:rsidRPr="00A61E6C">
        <w:rPr>
          <w:rFonts w:ascii="Times New Roman" w:hAnsi="Times New Roman" w:cs="Times New Roman (Body CS)"/>
        </w:rPr>
        <w:t>connect</w:t>
      </w:r>
      <w:proofErr w:type="spellEnd"/>
    </w:p>
    <w:p w:rsidR="003237CF" w:rsidRPr="00A61E6C" w:rsidRDefault="003237CF" w:rsidP="003237CF">
      <w:pPr>
        <w:pStyle w:val="ListParagraph"/>
        <w:ind w:left="1068"/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lastRenderedPageBreak/>
        <w:t xml:space="preserve">Sredstva u visini od </w:t>
      </w:r>
      <w:r w:rsidR="00A655CE" w:rsidRPr="00A61E6C">
        <w:rPr>
          <w:rFonts w:ascii="Times New Roman" w:hAnsi="Times New Roman" w:cs="Times New Roman (Body CS)"/>
        </w:rPr>
        <w:t>3.806</w:t>
      </w:r>
      <w:r w:rsidRPr="00A61E6C">
        <w:rPr>
          <w:rFonts w:ascii="Times New Roman" w:hAnsi="Times New Roman" w:cs="Times New Roman (Body CS)"/>
        </w:rPr>
        <w:t xml:space="preserve"> EUR </w:t>
      </w:r>
      <w:r w:rsidR="002965E2" w:rsidRPr="00A61E6C">
        <w:rPr>
          <w:rFonts w:ascii="Times New Roman" w:hAnsi="Times New Roman" w:cs="Times New Roman (Body CS)"/>
        </w:rPr>
        <w:t xml:space="preserve">planirana su u </w:t>
      </w:r>
      <w:r w:rsidRPr="00A61E6C">
        <w:rPr>
          <w:rFonts w:ascii="Times New Roman" w:hAnsi="Times New Roman" w:cs="Times New Roman (Body CS)"/>
        </w:rPr>
        <w:t xml:space="preserve"> 2024.g</w:t>
      </w:r>
    </w:p>
    <w:p w:rsidR="00984FB6" w:rsidRPr="00A61E6C" w:rsidRDefault="00984FB6" w:rsidP="00984FB6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>A679075.024 projekt KLIK</w:t>
      </w:r>
    </w:p>
    <w:p w:rsidR="00A655CE" w:rsidRPr="00A61E6C" w:rsidRDefault="00A655CE" w:rsidP="00A655CE">
      <w:pPr>
        <w:pStyle w:val="ListParagraph"/>
        <w:ind w:left="1068"/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 xml:space="preserve">Sredstva u visini od </w:t>
      </w:r>
      <w:r w:rsidR="002639E0" w:rsidRPr="00A61E6C">
        <w:rPr>
          <w:rFonts w:ascii="Times New Roman" w:hAnsi="Times New Roman" w:cs="Times New Roman (Body CS)"/>
        </w:rPr>
        <w:t>35.980</w:t>
      </w:r>
      <w:r w:rsidRPr="00A61E6C">
        <w:rPr>
          <w:rFonts w:ascii="Times New Roman" w:hAnsi="Times New Roman" w:cs="Times New Roman (Body CS)"/>
        </w:rPr>
        <w:t xml:space="preserve"> EUR planirana su u 2024.g</w:t>
      </w:r>
    </w:p>
    <w:p w:rsidR="002639E0" w:rsidRPr="00A61E6C" w:rsidRDefault="00984FB6" w:rsidP="006D362B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>A679075.03</w:t>
      </w:r>
      <w:r w:rsidR="002639E0" w:rsidRPr="00A61E6C">
        <w:rPr>
          <w:rFonts w:ascii="Times New Roman" w:hAnsi="Times New Roman" w:cs="Times New Roman (Body CS)"/>
        </w:rPr>
        <w:t>5 P</w:t>
      </w:r>
      <w:r w:rsidR="00572B63" w:rsidRPr="00A61E6C">
        <w:rPr>
          <w:rFonts w:ascii="Times New Roman" w:hAnsi="Times New Roman" w:cs="Times New Roman (Body CS)"/>
        </w:rPr>
        <w:t>rojekt</w:t>
      </w:r>
      <w:r w:rsidR="002965E2" w:rsidRPr="00A61E6C">
        <w:rPr>
          <w:rFonts w:ascii="Times New Roman" w:hAnsi="Times New Roman" w:cs="Times New Roman (Body CS)"/>
        </w:rPr>
        <w:t xml:space="preserve"> </w:t>
      </w:r>
      <w:r w:rsidR="002639E0" w:rsidRPr="00A61E6C">
        <w:rPr>
          <w:rFonts w:ascii="Times New Roman" w:hAnsi="Times New Roman" w:cs="Times New Roman (Body CS)"/>
        </w:rPr>
        <w:t>E</w:t>
      </w:r>
      <w:r w:rsidR="002965E2" w:rsidRPr="00A61E6C">
        <w:rPr>
          <w:rFonts w:ascii="Times New Roman" w:hAnsi="Times New Roman" w:cs="Times New Roman (Body CS)"/>
        </w:rPr>
        <w:t>uropskog centra za digitalne inovacije</w:t>
      </w:r>
      <w:r w:rsidR="002639E0" w:rsidRPr="00A61E6C">
        <w:rPr>
          <w:rFonts w:ascii="Times New Roman" w:hAnsi="Times New Roman" w:cs="Times New Roman (Body CS)"/>
        </w:rPr>
        <w:t xml:space="preserve"> EDIH ADRIA </w:t>
      </w:r>
    </w:p>
    <w:p w:rsidR="009A3CD7" w:rsidRPr="00A61E6C" w:rsidRDefault="002639E0" w:rsidP="002639E0">
      <w:pPr>
        <w:pStyle w:val="ListParagraph"/>
        <w:ind w:left="1068"/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>Sr</w:t>
      </w:r>
      <w:r w:rsidR="009A3CD7" w:rsidRPr="00A61E6C">
        <w:rPr>
          <w:rFonts w:ascii="Times New Roman" w:hAnsi="Times New Roman" w:cs="Times New Roman (Body CS)"/>
        </w:rPr>
        <w:t xml:space="preserve">edstva u visini </w:t>
      </w:r>
      <w:r w:rsidRPr="00A61E6C">
        <w:rPr>
          <w:rFonts w:ascii="Times New Roman" w:hAnsi="Times New Roman" w:cs="Times New Roman (Body CS)"/>
        </w:rPr>
        <w:t>od 88.005</w:t>
      </w:r>
      <w:r w:rsidR="009A3CD7" w:rsidRPr="00A61E6C">
        <w:rPr>
          <w:rFonts w:ascii="Times New Roman" w:hAnsi="Times New Roman" w:cs="Times New Roman (Body CS)"/>
        </w:rPr>
        <w:t xml:space="preserve"> EUR planirana su u 202</w:t>
      </w:r>
      <w:r w:rsidRPr="00A61E6C">
        <w:rPr>
          <w:rFonts w:ascii="Times New Roman" w:hAnsi="Times New Roman" w:cs="Times New Roman (Body CS)"/>
        </w:rPr>
        <w:t>4</w:t>
      </w:r>
      <w:r w:rsidR="009A3CD7" w:rsidRPr="00A61E6C">
        <w:rPr>
          <w:rFonts w:ascii="Times New Roman" w:hAnsi="Times New Roman" w:cs="Times New Roman (Body CS)"/>
        </w:rPr>
        <w:t>.g.</w:t>
      </w:r>
      <w:r w:rsidR="002965E2" w:rsidRPr="00A61E6C">
        <w:rPr>
          <w:rFonts w:ascii="Times New Roman" w:hAnsi="Times New Roman" w:cs="Times New Roman (Body CS)"/>
        </w:rPr>
        <w:t xml:space="preserve"> </w:t>
      </w:r>
      <w:r w:rsidRPr="00A61E6C">
        <w:rPr>
          <w:rFonts w:ascii="Times New Roman" w:hAnsi="Times New Roman" w:cs="Times New Roman (Body CS)"/>
        </w:rPr>
        <w:t>te 157.581 EUR u 2026. g.</w:t>
      </w:r>
    </w:p>
    <w:p w:rsidR="002617E3" w:rsidRPr="00A61E6C" w:rsidRDefault="002617E3" w:rsidP="00984FB6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>A679075.032 ERASMUS+ "DESIGNCARE"</w:t>
      </w:r>
    </w:p>
    <w:p w:rsidR="009A3CD7" w:rsidRPr="00A61E6C" w:rsidRDefault="009A3CD7" w:rsidP="009A3CD7">
      <w:pPr>
        <w:pStyle w:val="ListParagraph"/>
        <w:ind w:left="1068"/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>Sredstva u visini od 6.411 EUR</w:t>
      </w:r>
      <w:r w:rsidR="002639E0" w:rsidRPr="00A61E6C">
        <w:rPr>
          <w:rFonts w:ascii="Times New Roman" w:hAnsi="Times New Roman" w:cs="Times New Roman (Body CS)"/>
        </w:rPr>
        <w:t xml:space="preserve"> </w:t>
      </w:r>
      <w:proofErr w:type="spellStart"/>
      <w:r w:rsidR="002639E0" w:rsidRPr="00A61E6C">
        <w:rPr>
          <w:rFonts w:ascii="Times New Roman" w:hAnsi="Times New Roman" w:cs="Times New Roman (Body CS)"/>
        </w:rPr>
        <w:t>planirna</w:t>
      </w:r>
      <w:proofErr w:type="spellEnd"/>
      <w:r w:rsidR="002639E0" w:rsidRPr="00A61E6C">
        <w:rPr>
          <w:rFonts w:ascii="Times New Roman" w:hAnsi="Times New Roman" w:cs="Times New Roman (Body CS)"/>
        </w:rPr>
        <w:t xml:space="preserve"> su</w:t>
      </w:r>
      <w:r w:rsidRPr="00A61E6C">
        <w:rPr>
          <w:rFonts w:ascii="Times New Roman" w:hAnsi="Times New Roman" w:cs="Times New Roman (Body CS)"/>
        </w:rPr>
        <w:t xml:space="preserve"> u 2024.g</w:t>
      </w:r>
    </w:p>
    <w:p w:rsidR="00062B4E" w:rsidRPr="00A61E6C" w:rsidRDefault="00062B4E" w:rsidP="00984FB6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>A679075.034 2022-1-HR01-KA131-HED-000057180</w:t>
      </w:r>
    </w:p>
    <w:p w:rsidR="009A3CD7" w:rsidRPr="00A61E6C" w:rsidRDefault="009A3CD7" w:rsidP="009A3CD7">
      <w:pPr>
        <w:pStyle w:val="ListParagraph"/>
        <w:ind w:left="1068"/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>Sredstva u visini od  31.820 EUR</w:t>
      </w:r>
      <w:r w:rsidR="002639E0" w:rsidRPr="00A61E6C">
        <w:rPr>
          <w:rFonts w:ascii="Times New Roman" w:hAnsi="Times New Roman" w:cs="Times New Roman (Body CS)"/>
        </w:rPr>
        <w:t xml:space="preserve"> planirana su </w:t>
      </w:r>
      <w:r w:rsidRPr="00A61E6C">
        <w:rPr>
          <w:rFonts w:ascii="Times New Roman" w:hAnsi="Times New Roman" w:cs="Times New Roman (Body CS)"/>
        </w:rPr>
        <w:t xml:space="preserve"> u 2024.g</w:t>
      </w:r>
    </w:p>
    <w:p w:rsidR="002965E2" w:rsidRPr="00A61E6C" w:rsidRDefault="002965E2" w:rsidP="006D362B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 xml:space="preserve">NOVI PODPROJEKT  projekt </w:t>
      </w:r>
      <w:r w:rsidR="00BD2F5E" w:rsidRPr="00A61E6C">
        <w:rPr>
          <w:rFonts w:ascii="Times New Roman" w:hAnsi="Times New Roman" w:cs="Times New Roman (Body CS)"/>
        </w:rPr>
        <w:t>2023-1-HR01-KA131-HED-000126399</w:t>
      </w:r>
    </w:p>
    <w:p w:rsidR="002965E2" w:rsidRPr="00A61E6C" w:rsidRDefault="002965E2" w:rsidP="002965E2">
      <w:pPr>
        <w:pStyle w:val="ListParagraph"/>
        <w:ind w:left="1068"/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 xml:space="preserve">Sredstva u visini od </w:t>
      </w:r>
      <w:r w:rsidR="009A009A" w:rsidRPr="00A61E6C">
        <w:rPr>
          <w:rFonts w:ascii="Times New Roman" w:hAnsi="Times New Roman" w:cs="Times New Roman (Body CS)"/>
        </w:rPr>
        <w:t xml:space="preserve">44.917,60 </w:t>
      </w:r>
      <w:r w:rsidRPr="00A61E6C">
        <w:rPr>
          <w:rFonts w:ascii="Times New Roman" w:hAnsi="Times New Roman" w:cs="Times New Roman (Body CS)"/>
        </w:rPr>
        <w:t>EUR planirana su u 2024.g.</w:t>
      </w:r>
    </w:p>
    <w:p w:rsidR="002965E2" w:rsidRPr="00A61E6C" w:rsidRDefault="002965E2" w:rsidP="002965E2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>NOVI PODPROJEKT  projekt 2023-1-HR01-KA171-HED-000137062</w:t>
      </w:r>
    </w:p>
    <w:p w:rsidR="002965E2" w:rsidRPr="00A61E6C" w:rsidRDefault="002965E2" w:rsidP="002965E2">
      <w:pPr>
        <w:pStyle w:val="ListParagraph"/>
        <w:ind w:left="1068"/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 xml:space="preserve">Sredstva u visini </w:t>
      </w:r>
      <w:r w:rsidR="009A009A" w:rsidRPr="00A61E6C">
        <w:rPr>
          <w:rFonts w:ascii="Times New Roman" w:hAnsi="Times New Roman" w:cs="Times New Roman (Body CS)"/>
        </w:rPr>
        <w:t xml:space="preserve">od 6.326 </w:t>
      </w:r>
      <w:r w:rsidRPr="00A61E6C">
        <w:rPr>
          <w:rFonts w:ascii="Times New Roman" w:hAnsi="Times New Roman" w:cs="Times New Roman (Body CS)"/>
        </w:rPr>
        <w:t xml:space="preserve"> EUR planirana su u 2024.g.</w:t>
      </w:r>
    </w:p>
    <w:p w:rsidR="002965E2" w:rsidRPr="00A61E6C" w:rsidRDefault="002965E2" w:rsidP="002965E2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 xml:space="preserve">NOVI PODPROJEKT  projekt </w:t>
      </w:r>
      <w:r w:rsidR="00BD2F5E" w:rsidRPr="00A61E6C">
        <w:rPr>
          <w:rFonts w:ascii="Times New Roman" w:hAnsi="Times New Roman" w:cs="Times New Roman (Body CS)"/>
        </w:rPr>
        <w:t>AQUAMON</w:t>
      </w:r>
    </w:p>
    <w:p w:rsidR="009A009A" w:rsidRPr="00A61E6C" w:rsidRDefault="002965E2" w:rsidP="009A009A">
      <w:pPr>
        <w:pStyle w:val="ListParagraph"/>
        <w:ind w:left="1068"/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 xml:space="preserve">Sredstva u visini od </w:t>
      </w:r>
      <w:r w:rsidR="00BD2F5E" w:rsidRPr="00A61E6C">
        <w:rPr>
          <w:rFonts w:ascii="Times New Roman" w:hAnsi="Times New Roman" w:cs="Times New Roman (Body CS)"/>
        </w:rPr>
        <w:t>79.250</w:t>
      </w:r>
      <w:r w:rsidRPr="00A61E6C">
        <w:rPr>
          <w:rFonts w:ascii="Times New Roman" w:hAnsi="Times New Roman" w:cs="Times New Roman (Body CS)"/>
        </w:rPr>
        <w:t xml:space="preserve"> EUR planirana su u 2024.g.</w:t>
      </w:r>
      <w:r w:rsidR="00BD2F5E" w:rsidRPr="00A61E6C">
        <w:rPr>
          <w:rFonts w:ascii="Times New Roman" w:hAnsi="Times New Roman" w:cs="Times New Roman (Body CS)"/>
        </w:rPr>
        <w:t>, 62.750 EUR planirana su u 2025. te 47.375 EUR u 2026. g.</w:t>
      </w:r>
    </w:p>
    <w:p w:rsidR="00BD2F5E" w:rsidRPr="00A61E6C" w:rsidRDefault="00BD2F5E" w:rsidP="00BD2F5E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>NOVI PODPROJEKT  projekt</w:t>
      </w:r>
      <w:r w:rsidR="009A009A" w:rsidRPr="00A61E6C">
        <w:rPr>
          <w:rFonts w:ascii="Times New Roman" w:hAnsi="Times New Roman" w:cs="Times New Roman (Body CS)"/>
        </w:rPr>
        <w:t xml:space="preserve"> DMC KLASTER</w:t>
      </w:r>
    </w:p>
    <w:p w:rsidR="00BD2F5E" w:rsidRPr="00A61E6C" w:rsidRDefault="00BD2F5E" w:rsidP="00BD2F5E">
      <w:pPr>
        <w:pStyle w:val="ListParagraph"/>
        <w:ind w:left="1068"/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 xml:space="preserve">Sredstva u visini od </w:t>
      </w:r>
      <w:r w:rsidR="009A009A" w:rsidRPr="00A61E6C">
        <w:rPr>
          <w:rFonts w:ascii="Times New Roman" w:hAnsi="Times New Roman" w:cs="Times New Roman (Body CS)"/>
        </w:rPr>
        <w:t>133.112</w:t>
      </w:r>
      <w:r w:rsidRPr="00A61E6C">
        <w:rPr>
          <w:rFonts w:ascii="Times New Roman" w:hAnsi="Times New Roman" w:cs="Times New Roman (Body CS)"/>
        </w:rPr>
        <w:t xml:space="preserve"> EUR planirana su u 2024.g. te </w:t>
      </w:r>
      <w:r w:rsidR="009A009A" w:rsidRPr="00A61E6C">
        <w:rPr>
          <w:rFonts w:ascii="Times New Roman" w:hAnsi="Times New Roman" w:cs="Times New Roman (Body CS)"/>
        </w:rPr>
        <w:t>69.531</w:t>
      </w:r>
      <w:r w:rsidRPr="00A61E6C">
        <w:rPr>
          <w:rFonts w:ascii="Times New Roman" w:hAnsi="Times New Roman" w:cs="Times New Roman (Body CS)"/>
        </w:rPr>
        <w:t xml:space="preserve"> EUR u 2025. g.</w:t>
      </w:r>
      <w:r w:rsidR="009A009A" w:rsidRPr="00A61E6C">
        <w:rPr>
          <w:rFonts w:ascii="Times New Roman" w:hAnsi="Times New Roman" w:cs="Times New Roman (Body CS)"/>
        </w:rPr>
        <w:t xml:space="preserve"> i 1.000 EUR u 2026.g.</w:t>
      </w:r>
    </w:p>
    <w:p w:rsidR="009A009A" w:rsidRPr="00A61E6C" w:rsidRDefault="009A009A" w:rsidP="009A009A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>NOVI PODPROJEKT  projekt CARDEA</w:t>
      </w:r>
    </w:p>
    <w:p w:rsidR="009A009A" w:rsidRPr="00A61E6C" w:rsidRDefault="009A009A" w:rsidP="009A009A">
      <w:pPr>
        <w:pStyle w:val="ListParagraph"/>
        <w:ind w:left="1068"/>
        <w:jc w:val="both"/>
        <w:rPr>
          <w:rFonts w:ascii="Times New Roman" w:hAnsi="Times New Roman" w:cs="Times New Roman (Body CS)"/>
        </w:rPr>
      </w:pPr>
      <w:r w:rsidRPr="00A61E6C">
        <w:rPr>
          <w:rFonts w:ascii="Times New Roman" w:hAnsi="Times New Roman" w:cs="Times New Roman (Body CS)"/>
        </w:rPr>
        <w:t>Sredstva u visini od 65.000 EUR planirana su u 2024.g. te 19.340 EUR u 2025. g.</w:t>
      </w:r>
    </w:p>
    <w:p w:rsidR="009A009A" w:rsidRPr="00A61E6C" w:rsidRDefault="009A009A" w:rsidP="00BD2F5E">
      <w:pPr>
        <w:pStyle w:val="ListParagraph"/>
        <w:ind w:left="1068"/>
        <w:jc w:val="both"/>
        <w:rPr>
          <w:rFonts w:ascii="Times New Roman" w:hAnsi="Times New Roman" w:cs="Times New Roman (Body CS)"/>
        </w:rPr>
      </w:pPr>
    </w:p>
    <w:p w:rsidR="00BD2F5E" w:rsidRPr="00A61E6C" w:rsidRDefault="00BD2F5E" w:rsidP="002965E2">
      <w:pPr>
        <w:pStyle w:val="ListParagraph"/>
        <w:ind w:left="1068"/>
        <w:jc w:val="both"/>
        <w:rPr>
          <w:rFonts w:ascii="Times New Roman" w:hAnsi="Times New Roman" w:cs="Times New Roman (Body CS)"/>
          <w:highlight w:val="cyan"/>
        </w:rPr>
      </w:pPr>
    </w:p>
    <w:p w:rsidR="002965E2" w:rsidRPr="00A61E6C" w:rsidRDefault="002965E2" w:rsidP="002965E2">
      <w:pPr>
        <w:pStyle w:val="ListParagraph"/>
        <w:ind w:left="1068"/>
        <w:jc w:val="both"/>
        <w:rPr>
          <w:rFonts w:ascii="Times New Roman" w:hAnsi="Times New Roman" w:cs="Times New Roman (Body CS)"/>
          <w:highlight w:val="cyan"/>
        </w:rPr>
      </w:pPr>
    </w:p>
    <w:p w:rsidR="002965E2" w:rsidRPr="00A61E6C" w:rsidRDefault="002965E2" w:rsidP="009A3CD7">
      <w:pPr>
        <w:pStyle w:val="ListParagraph"/>
        <w:ind w:left="1068"/>
        <w:jc w:val="both"/>
        <w:rPr>
          <w:rFonts w:ascii="Times New Roman" w:hAnsi="Times New Roman" w:cs="Times New Roman (Body CS)"/>
        </w:rPr>
      </w:pPr>
    </w:p>
    <w:p w:rsidR="00EA0547" w:rsidRPr="00A61E6C" w:rsidRDefault="00EA0547" w:rsidP="007E33B2">
      <w:pPr>
        <w:pStyle w:val="ListParagraph"/>
        <w:jc w:val="both"/>
        <w:rPr>
          <w:i/>
        </w:rPr>
      </w:pPr>
    </w:p>
    <w:p w:rsidR="00EA0547" w:rsidRPr="00A61E6C" w:rsidRDefault="00EA0547" w:rsidP="00870694">
      <w:pPr>
        <w:jc w:val="both"/>
        <w:rPr>
          <w:i/>
        </w:rPr>
      </w:pPr>
    </w:p>
    <w:tbl>
      <w:tblPr>
        <w:tblStyle w:val="TableGrid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119"/>
        <w:gridCol w:w="1119"/>
        <w:gridCol w:w="1119"/>
      </w:tblGrid>
      <w:tr w:rsidR="00A61E6C" w:rsidRPr="00A61E6C" w:rsidTr="003817CC"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Ciljana vrijednost za 202</w:t>
            </w:r>
            <w:r w:rsidR="00945C6B" w:rsidRPr="00A61E6C">
              <w:rPr>
                <w:sz w:val="20"/>
              </w:rPr>
              <w:t>4</w:t>
            </w:r>
            <w:r w:rsidRPr="00A61E6C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:rsidR="007E33B2" w:rsidRPr="00A61E6C" w:rsidRDefault="007E33B2" w:rsidP="0079091F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Ciljana vrijednost za 202</w:t>
            </w:r>
            <w:r w:rsidR="00945C6B" w:rsidRPr="00A61E6C">
              <w:rPr>
                <w:sz w:val="20"/>
              </w:rPr>
              <w:t>5</w:t>
            </w:r>
            <w:r w:rsidRPr="00A61E6C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:rsidR="007E33B2" w:rsidRPr="00A61E6C" w:rsidRDefault="007E33B2" w:rsidP="0079091F">
            <w:pPr>
              <w:jc w:val="center"/>
              <w:rPr>
                <w:sz w:val="20"/>
              </w:rPr>
            </w:pPr>
            <w:r w:rsidRPr="00A61E6C">
              <w:rPr>
                <w:sz w:val="20"/>
              </w:rPr>
              <w:t>Ciljana vrijednost za 202</w:t>
            </w:r>
            <w:r w:rsidR="00945C6B" w:rsidRPr="00A61E6C">
              <w:rPr>
                <w:sz w:val="20"/>
              </w:rPr>
              <w:t>6</w:t>
            </w:r>
            <w:r w:rsidRPr="00A61E6C">
              <w:rPr>
                <w:sz w:val="20"/>
              </w:rPr>
              <w:t>.</w:t>
            </w:r>
          </w:p>
        </w:tc>
      </w:tr>
      <w:tr w:rsidR="00A61E6C" w:rsidRPr="00A61E6C" w:rsidTr="003817CC"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rPr>
                <w:sz w:val="20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  <w:rPr>
                <w:sz w:val="20"/>
              </w:rPr>
            </w:pP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:rsidR="007E33B2" w:rsidRPr="00A61E6C" w:rsidRDefault="007E33B2" w:rsidP="0079091F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</w:tcPr>
          <w:p w:rsidR="007E33B2" w:rsidRPr="00A61E6C" w:rsidRDefault="007E33B2" w:rsidP="0079091F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D0CECE" w:themeFill="background2" w:themeFillShade="E6"/>
          </w:tcPr>
          <w:p w:rsidR="007E33B2" w:rsidRPr="00A61E6C" w:rsidRDefault="007E33B2" w:rsidP="0079091F">
            <w:pPr>
              <w:jc w:val="center"/>
              <w:rPr>
                <w:sz w:val="20"/>
              </w:rPr>
            </w:pPr>
          </w:p>
        </w:tc>
      </w:tr>
      <w:tr w:rsidR="00A61E6C" w:rsidRPr="00A61E6C" w:rsidTr="003817CC">
        <w:tc>
          <w:tcPr>
            <w:tcW w:w="1129" w:type="dxa"/>
            <w:shd w:val="clear" w:color="auto" w:fill="auto"/>
            <w:vAlign w:val="center"/>
          </w:tcPr>
          <w:p w:rsidR="007E33B2" w:rsidRPr="00A61E6C" w:rsidRDefault="007E33B2" w:rsidP="0079091F">
            <w:pPr>
              <w:jc w:val="center"/>
              <w:rPr>
                <w:rFonts w:ascii="Times" w:hAnsi="Times" w:cs="Times New Roman (Body CS)"/>
                <w:i/>
                <w:sz w:val="20"/>
              </w:rPr>
            </w:pPr>
            <w:r w:rsidRPr="00A61E6C">
              <w:rPr>
                <w:rFonts w:ascii="Times" w:hAnsi="Times" w:cs="Times New Roman (Body CS)"/>
                <w:i/>
                <w:sz w:val="20"/>
              </w:rPr>
              <w:t xml:space="preserve">Broj </w:t>
            </w:r>
          </w:p>
          <w:p w:rsidR="007E33B2" w:rsidRPr="00A61E6C" w:rsidRDefault="000E33E8" w:rsidP="0079091F">
            <w:pPr>
              <w:rPr>
                <w:rFonts w:ascii="Times" w:hAnsi="Times" w:cs="Times New Roman (Body CS)"/>
                <w:i/>
                <w:sz w:val="20"/>
              </w:rPr>
            </w:pPr>
            <w:r w:rsidRPr="00A61E6C">
              <w:rPr>
                <w:rFonts w:ascii="Times" w:hAnsi="Times" w:cs="Times New Roman (Body CS)"/>
                <w:i/>
                <w:sz w:val="20"/>
              </w:rPr>
              <w:t xml:space="preserve">    </w:t>
            </w:r>
            <w:r w:rsidR="007E33B2" w:rsidRPr="00A61E6C">
              <w:rPr>
                <w:rFonts w:ascii="Times" w:hAnsi="Times" w:cs="Times New Roman (Body CS)"/>
                <w:i/>
                <w:sz w:val="20"/>
              </w:rPr>
              <w:t>dolaznih</w:t>
            </w:r>
          </w:p>
          <w:p w:rsidR="007E33B2" w:rsidRPr="00A61E6C" w:rsidRDefault="007E33B2" w:rsidP="0079091F">
            <w:pPr>
              <w:jc w:val="center"/>
              <w:rPr>
                <w:rFonts w:ascii="Times" w:hAnsi="Times" w:cs="Times New Roman (Body CS)"/>
                <w:i/>
                <w:sz w:val="20"/>
              </w:rPr>
            </w:pPr>
            <w:r w:rsidRPr="00A61E6C">
              <w:rPr>
                <w:rFonts w:ascii="Times" w:hAnsi="Times" w:cs="Times New Roman (Body CS)"/>
                <w:i/>
                <w:sz w:val="20"/>
              </w:rPr>
              <w:t>studenata</w:t>
            </w:r>
          </w:p>
          <w:p w:rsidR="007E33B2" w:rsidRPr="00A61E6C" w:rsidRDefault="007E33B2" w:rsidP="0079091F">
            <w:pPr>
              <w:jc w:val="center"/>
              <w:rPr>
                <w:rFonts w:ascii="Times" w:hAnsi="Times" w:cs="Times New Roman (Body CS)"/>
                <w:i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33B2" w:rsidRPr="00A61E6C" w:rsidRDefault="007E33B2" w:rsidP="0079091F">
            <w:pPr>
              <w:jc w:val="center"/>
              <w:rPr>
                <w:rFonts w:ascii="Times" w:hAnsi="Times" w:cs="Times New Roman (Body CS)"/>
                <w:i/>
                <w:sz w:val="20"/>
              </w:rPr>
            </w:pPr>
            <w:r w:rsidRPr="00A61E6C">
              <w:rPr>
                <w:rFonts w:ascii="Times" w:hAnsi="Times" w:cs="Times New Roman (Body CS)"/>
                <w:i/>
                <w:sz w:val="20"/>
              </w:rPr>
              <w:t>Udio dolaznih međunarodnih studenata</w:t>
            </w:r>
            <w:r w:rsidR="0043208D" w:rsidRPr="00A61E6C">
              <w:rPr>
                <w:rFonts w:ascii="Times" w:hAnsi="Times" w:cs="Times New Roman (Body CS)"/>
                <w:i/>
                <w:sz w:val="20"/>
              </w:rPr>
              <w:t>-</w:t>
            </w:r>
            <w:r w:rsidRPr="00A61E6C">
              <w:rPr>
                <w:rFonts w:ascii="Times" w:hAnsi="Times" w:cs="Times New Roman (Body CS)"/>
                <w:i/>
                <w:sz w:val="20"/>
              </w:rPr>
              <w:t>dolazna mobilnost studenata</w:t>
            </w:r>
          </w:p>
          <w:p w:rsidR="0043208D" w:rsidRPr="00A61E6C" w:rsidRDefault="0043208D" w:rsidP="0079091F">
            <w:pPr>
              <w:jc w:val="center"/>
              <w:rPr>
                <w:rFonts w:ascii="Times" w:hAnsi="Times" w:cs="Times New Roman (Body CS)"/>
                <w:i/>
                <w:sz w:val="20"/>
              </w:rPr>
            </w:pPr>
            <w:r w:rsidRPr="00A61E6C">
              <w:rPr>
                <w:rFonts w:ascii="Times" w:hAnsi="Times" w:cs="Times New Roman (Body CS)"/>
                <w:i/>
                <w:sz w:val="20"/>
              </w:rPr>
              <w:t>(korigirani pokazatelj u uvjetima pandemije)</w:t>
            </w:r>
          </w:p>
          <w:p w:rsidR="007E33B2" w:rsidRPr="00A61E6C" w:rsidRDefault="007E33B2" w:rsidP="0079091F">
            <w:pPr>
              <w:jc w:val="center"/>
              <w:rPr>
                <w:rFonts w:ascii="Times" w:hAnsi="Times" w:cs="Times New Roman (Body CS)"/>
                <w:i/>
                <w:sz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E33B2" w:rsidRPr="00A61E6C" w:rsidRDefault="007E33B2" w:rsidP="0079091F">
            <w:pPr>
              <w:jc w:val="center"/>
              <w:rPr>
                <w:rFonts w:ascii="Times" w:hAnsi="Times" w:cs="Times New Roman (Body CS)"/>
                <w:i/>
                <w:sz w:val="20"/>
              </w:rPr>
            </w:pPr>
            <w:r w:rsidRPr="00A61E6C">
              <w:rPr>
                <w:rFonts w:ascii="Times" w:hAnsi="Times" w:cs="Times New Roman (Body CS)"/>
                <w:i/>
                <w:sz w:val="20"/>
              </w:rPr>
              <w:t>student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7E33B2" w:rsidRPr="00A61E6C" w:rsidRDefault="00EA0547" w:rsidP="0079091F">
            <w:pPr>
              <w:jc w:val="center"/>
              <w:rPr>
                <w:rFonts w:ascii="Times" w:hAnsi="Times" w:cs="Times New Roman (Body CS)"/>
                <w:i/>
                <w:sz w:val="20"/>
              </w:rPr>
            </w:pPr>
            <w:r w:rsidRPr="00A61E6C">
              <w:rPr>
                <w:rFonts w:ascii="Times" w:hAnsi="Times" w:cs="Times New Roman (Body CS)"/>
                <w:i/>
                <w:sz w:val="20"/>
              </w:rPr>
              <w:t>30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7E33B2" w:rsidRPr="00A61E6C" w:rsidRDefault="007E33B2" w:rsidP="0079091F">
            <w:pPr>
              <w:jc w:val="center"/>
              <w:rPr>
                <w:rFonts w:ascii="Times" w:hAnsi="Times" w:cs="Times New Roman (Body CS)"/>
                <w:i/>
                <w:sz w:val="20"/>
              </w:rPr>
            </w:pPr>
            <w:r w:rsidRPr="00A61E6C">
              <w:rPr>
                <w:rFonts w:ascii="Times" w:hAnsi="Times" w:cs="Times New Roman (Body CS)"/>
                <w:i/>
                <w:sz w:val="20"/>
              </w:rPr>
              <w:t>Sveučilište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7E33B2" w:rsidRPr="00A61E6C" w:rsidRDefault="00945C6B" w:rsidP="0079091F">
            <w:pPr>
              <w:jc w:val="center"/>
              <w:rPr>
                <w:rFonts w:ascii="Times" w:hAnsi="Times" w:cs="Times New Roman (Body CS)"/>
                <w:i/>
                <w:sz w:val="20"/>
              </w:rPr>
            </w:pPr>
            <w:r w:rsidRPr="00A61E6C">
              <w:rPr>
                <w:rFonts w:ascii="Times" w:hAnsi="Times" w:cs="Times New Roman (Body CS)"/>
                <w:i/>
                <w:sz w:val="20"/>
              </w:rPr>
              <w:t>60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7E33B2" w:rsidRPr="00A61E6C" w:rsidRDefault="00945C6B" w:rsidP="0079091F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70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7E33B2" w:rsidRPr="00A61E6C" w:rsidRDefault="00945C6B" w:rsidP="0079091F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70</w:t>
            </w:r>
          </w:p>
        </w:tc>
      </w:tr>
      <w:tr w:rsidR="00A61E6C" w:rsidRPr="00A61E6C" w:rsidTr="003817CC">
        <w:tc>
          <w:tcPr>
            <w:tcW w:w="940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B54" w:rsidRPr="00A61E6C" w:rsidRDefault="00432F80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2"/>
              </w:rPr>
              <w:t>A679075.0</w:t>
            </w:r>
            <w:r w:rsidR="00F57ED8" w:rsidRPr="00A61E6C">
              <w:rPr>
                <w:rFonts w:cs="Times New Roman (Body CS)"/>
                <w:i/>
                <w:sz w:val="22"/>
              </w:rPr>
              <w:t>33</w:t>
            </w:r>
            <w:r w:rsidRPr="00A61E6C">
              <w:rPr>
                <w:rFonts w:cs="Times New Roman (Body CS)"/>
                <w:i/>
                <w:sz w:val="22"/>
              </w:rPr>
              <w:t xml:space="preserve"> </w:t>
            </w:r>
            <w:r w:rsidR="003F2B54" w:rsidRPr="00A61E6C">
              <w:rPr>
                <w:rFonts w:ascii="Times" w:hAnsi="Times"/>
                <w:i/>
                <w:sz w:val="20"/>
              </w:rPr>
              <w:t xml:space="preserve">ERASMUS + projekt </w:t>
            </w:r>
            <w:r w:rsidR="00A841A1" w:rsidRPr="00A61E6C">
              <w:rPr>
                <w:rFonts w:ascii="Times" w:hAnsi="Times"/>
                <w:i/>
                <w:sz w:val="20"/>
              </w:rPr>
              <w:t>CACAO 2021-1-HR01-KA220-SCH-000027781</w:t>
            </w:r>
          </w:p>
        </w:tc>
      </w:tr>
      <w:tr w:rsidR="00A61E6C" w:rsidRPr="00A61E6C" w:rsidTr="003817CC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881F79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Broj modula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881F79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 xml:space="preserve">Učenje potpomognutog tehnologijom iz 5 europskih zemalja da zajedno kreiraju jedinstveni program predškolskog učenja koji spaja staničnu biologiju, </w:t>
            </w:r>
            <w:r w:rsidRPr="00A61E6C">
              <w:rPr>
                <w:rFonts w:ascii="Times" w:hAnsi="Times"/>
                <w:i/>
                <w:sz w:val="20"/>
              </w:rPr>
              <w:lastRenderedPageBreak/>
              <w:t>glazbu, ples i vizualnu umjetnost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lastRenderedPageBreak/>
              <w:t>Razvijanje „</w:t>
            </w:r>
            <w:proofErr w:type="spellStart"/>
            <w:r w:rsidRPr="00A61E6C">
              <w:rPr>
                <w:rFonts w:ascii="Times" w:hAnsi="Times"/>
                <w:i/>
                <w:sz w:val="20"/>
              </w:rPr>
              <w:t>toolkita</w:t>
            </w:r>
            <w:proofErr w:type="spellEnd"/>
            <w:r w:rsidRPr="00A61E6C">
              <w:rPr>
                <w:rFonts w:ascii="Times" w:hAnsi="Times"/>
                <w:i/>
                <w:sz w:val="20"/>
              </w:rPr>
              <w:t xml:space="preserve">“ za internacionalizaciju „kod kuće“ i alata za </w:t>
            </w:r>
            <w:proofErr w:type="spellStart"/>
            <w:r w:rsidRPr="00A61E6C">
              <w:rPr>
                <w:rFonts w:ascii="Times" w:hAnsi="Times"/>
                <w:i/>
                <w:sz w:val="20"/>
              </w:rPr>
              <w:t>sampoprocjenu</w:t>
            </w:r>
            <w:proofErr w:type="spellEnd"/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387" w:rsidRPr="00A61E6C" w:rsidRDefault="00C9338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Sveučilište,</w:t>
            </w:r>
          </w:p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Izvješće o provedbi projekta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945C6B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2 modula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881F79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2 modula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945C6B" w:rsidP="00945C6B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-</w:t>
            </w:r>
          </w:p>
        </w:tc>
      </w:tr>
      <w:tr w:rsidR="00A61E6C" w:rsidRPr="00A61E6C" w:rsidTr="003817CC">
        <w:tc>
          <w:tcPr>
            <w:tcW w:w="1129" w:type="dxa"/>
            <w:shd w:val="clear" w:color="auto" w:fill="auto"/>
            <w:vAlign w:val="center"/>
          </w:tcPr>
          <w:p w:rsidR="00EA0547" w:rsidRPr="00A61E6C" w:rsidRDefault="00FD0450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Broj događanja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0547" w:rsidRPr="00A61E6C" w:rsidRDefault="00FD0450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Projektni sastanci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A0547" w:rsidRPr="00A61E6C" w:rsidRDefault="00FD0450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 xml:space="preserve">Događanje s </w:t>
            </w:r>
            <w:proofErr w:type="spellStart"/>
            <w:r w:rsidRPr="00A61E6C">
              <w:rPr>
                <w:rFonts w:ascii="Times" w:hAnsi="Times"/>
                <w:i/>
                <w:sz w:val="20"/>
              </w:rPr>
              <w:t>diseminacijskim</w:t>
            </w:r>
            <w:proofErr w:type="spellEnd"/>
            <w:r w:rsidRPr="00A61E6C">
              <w:rPr>
                <w:rFonts w:ascii="Times" w:hAnsi="Times"/>
                <w:i/>
                <w:sz w:val="20"/>
              </w:rPr>
              <w:t xml:space="preserve"> učinkom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93387" w:rsidRPr="00A61E6C" w:rsidRDefault="00C9338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Sveučilište,</w:t>
            </w:r>
          </w:p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Izvješće o provedbi projekta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A0547" w:rsidRPr="00A61E6C" w:rsidRDefault="00FD0450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3 događanja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A0547" w:rsidRPr="00A61E6C" w:rsidRDefault="00FD0450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2 događanja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A0547" w:rsidRPr="00A61E6C" w:rsidRDefault="00FD0450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2 događanja</w:t>
            </w:r>
          </w:p>
        </w:tc>
      </w:tr>
      <w:tr w:rsidR="00A61E6C" w:rsidRPr="00A61E6C" w:rsidTr="003817CC">
        <w:tc>
          <w:tcPr>
            <w:tcW w:w="9402" w:type="dxa"/>
            <w:gridSpan w:val="8"/>
            <w:shd w:val="clear" w:color="auto" w:fill="auto"/>
            <w:vAlign w:val="center"/>
          </w:tcPr>
          <w:p w:rsidR="003F2B54" w:rsidRPr="00A61E6C" w:rsidRDefault="00432F80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cs="Times New Roman (Body CS)"/>
                <w:i/>
                <w:sz w:val="22"/>
              </w:rPr>
              <w:t>A679075.02</w:t>
            </w:r>
            <w:r w:rsidR="00F57ED8" w:rsidRPr="00A61E6C">
              <w:rPr>
                <w:rFonts w:cs="Times New Roman (Body CS)"/>
                <w:i/>
                <w:sz w:val="22"/>
              </w:rPr>
              <w:t>5</w:t>
            </w:r>
            <w:r w:rsidRPr="00A61E6C">
              <w:rPr>
                <w:rFonts w:cs="Times New Roman (Body CS)"/>
                <w:i/>
                <w:sz w:val="22"/>
              </w:rPr>
              <w:t xml:space="preserve"> </w:t>
            </w:r>
            <w:r w:rsidR="003F2B54" w:rsidRPr="00A61E6C">
              <w:rPr>
                <w:rFonts w:ascii="Times" w:hAnsi="Times"/>
                <w:i/>
                <w:sz w:val="20"/>
              </w:rPr>
              <w:t>ERASMUS+ PROJEKT BRIGHT 2020-1-RO01-KA226-HE-095517</w:t>
            </w:r>
          </w:p>
        </w:tc>
      </w:tr>
      <w:tr w:rsidR="00A61E6C" w:rsidRPr="00A61E6C" w:rsidTr="003817CC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7EE4" w:rsidRPr="00A61E6C" w:rsidRDefault="00D27EE4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Broj kurikuluma/</w:t>
            </w:r>
          </w:p>
          <w:p w:rsidR="00EA0547" w:rsidRPr="00A61E6C" w:rsidRDefault="00D27EE4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tečajeva podrške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 xml:space="preserve">Jačanje znanstvene izvrsnosti i inovacijskog kapaciteta metoda 3D ispisa u </w:t>
            </w:r>
            <w:proofErr w:type="spellStart"/>
            <w:r w:rsidRPr="00A61E6C">
              <w:rPr>
                <w:rFonts w:ascii="Times" w:hAnsi="Times"/>
                <w:i/>
                <w:sz w:val="20"/>
              </w:rPr>
              <w:t>pandemijskom</w:t>
            </w:r>
            <w:proofErr w:type="spellEnd"/>
            <w:r w:rsidRPr="00A61E6C">
              <w:rPr>
                <w:rFonts w:ascii="Times" w:hAnsi="Times"/>
                <w:i/>
                <w:sz w:val="20"/>
              </w:rPr>
              <w:t xml:space="preserve"> razdoblju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 xml:space="preserve">BRIGHT kurikulum / tečajevi podrške 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7EE4" w:rsidRPr="00A61E6C" w:rsidRDefault="00D27EE4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Sveučilište,</w:t>
            </w:r>
          </w:p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Izvješće o provedbi projekta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1 kurikulum (100%)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CC2493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-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CC2493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-</w:t>
            </w:r>
          </w:p>
        </w:tc>
      </w:tr>
      <w:tr w:rsidR="00A61E6C" w:rsidRPr="00A61E6C" w:rsidTr="003817CC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3C440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Broj priručnika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 xml:space="preserve">Jačanje znanstvene izvrsnosti i inovacijskog kapaciteta metoda 3D ispisa u </w:t>
            </w:r>
            <w:proofErr w:type="spellStart"/>
            <w:r w:rsidRPr="00A61E6C">
              <w:rPr>
                <w:rFonts w:ascii="Times" w:hAnsi="Times"/>
                <w:i/>
                <w:sz w:val="20"/>
              </w:rPr>
              <w:t>pandemijskom</w:t>
            </w:r>
            <w:proofErr w:type="spellEnd"/>
            <w:r w:rsidRPr="00A61E6C">
              <w:rPr>
                <w:rFonts w:ascii="Times" w:hAnsi="Times"/>
                <w:i/>
                <w:sz w:val="20"/>
              </w:rPr>
              <w:t xml:space="preserve"> razdoblju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priručnik e-alata za digitalno učenje (povezan s tečajevima podrške)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7EE4" w:rsidRPr="00A61E6C" w:rsidRDefault="00D27EE4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Sveučilište,</w:t>
            </w:r>
          </w:p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Izvješće o provedbi projekta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1 priručnik (100%)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CC2493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-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CC2493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-</w:t>
            </w:r>
          </w:p>
        </w:tc>
      </w:tr>
      <w:tr w:rsidR="00A61E6C" w:rsidRPr="00A61E6C" w:rsidTr="003817CC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3C440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Postotak dovršenosti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 xml:space="preserve">Jačanje znanstvene izvrsnosti i inovacijskog kapaciteta metoda 3D ispisa u </w:t>
            </w:r>
            <w:proofErr w:type="spellStart"/>
            <w:r w:rsidRPr="00A61E6C">
              <w:rPr>
                <w:rFonts w:ascii="Times" w:hAnsi="Times"/>
                <w:i/>
                <w:sz w:val="20"/>
              </w:rPr>
              <w:t>pandemijskom</w:t>
            </w:r>
            <w:proofErr w:type="spellEnd"/>
            <w:r w:rsidRPr="00A61E6C">
              <w:rPr>
                <w:rFonts w:ascii="Times" w:hAnsi="Times"/>
                <w:i/>
                <w:sz w:val="20"/>
              </w:rPr>
              <w:t xml:space="preserve"> razdoblju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virtualna laboratorijska platforma za e-učenje za razvoj, proizvodnju i ispitivanje medicinskih dijelova 3D ispisom (u korelaciji s tečajevima podrške i kompletom alata).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7EE4" w:rsidRPr="00A61E6C" w:rsidRDefault="00D27EE4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Sveučilište,</w:t>
            </w:r>
          </w:p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Izvješće o provedbi projekta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13%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87%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CC2493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-</w:t>
            </w:r>
          </w:p>
        </w:tc>
      </w:tr>
      <w:tr w:rsidR="00A61E6C" w:rsidRPr="00A61E6C" w:rsidTr="003817CC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3C440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Broj seminara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 xml:space="preserve">Jačanje znanstvene izvrsnosti i inovacijskog kapaciteta metoda 3D ispisa u </w:t>
            </w:r>
            <w:proofErr w:type="spellStart"/>
            <w:r w:rsidRPr="00A61E6C">
              <w:rPr>
                <w:rFonts w:ascii="Times" w:hAnsi="Times"/>
                <w:i/>
                <w:sz w:val="20"/>
              </w:rPr>
              <w:t>pandemijskom</w:t>
            </w:r>
            <w:proofErr w:type="spellEnd"/>
            <w:r w:rsidRPr="00A61E6C">
              <w:rPr>
                <w:rFonts w:ascii="Times" w:hAnsi="Times"/>
                <w:i/>
                <w:sz w:val="20"/>
              </w:rPr>
              <w:t xml:space="preserve"> razdoblju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 xml:space="preserve">web-seminari o e-učenju o korištenju tehnologija 3D ispisa u razvoju, proizvodnji i ispitivanju medicinskih dijelova u </w:t>
            </w:r>
            <w:proofErr w:type="spellStart"/>
            <w:r w:rsidRPr="00A61E6C">
              <w:rPr>
                <w:rFonts w:ascii="Times" w:hAnsi="Times"/>
                <w:i/>
                <w:sz w:val="20"/>
              </w:rPr>
              <w:t>pandemijskom</w:t>
            </w:r>
            <w:proofErr w:type="spellEnd"/>
            <w:r w:rsidRPr="00A61E6C">
              <w:rPr>
                <w:rFonts w:ascii="Times" w:hAnsi="Times"/>
                <w:i/>
                <w:sz w:val="20"/>
              </w:rPr>
              <w:t xml:space="preserve"> razdoblju (video koji detaljno prikazuje sve faze koje je potrebno ispuniti u Brzom razvoju medicinskog dijela od strane 3D tisak - </w:t>
            </w:r>
            <w:r w:rsidRPr="00A61E6C">
              <w:rPr>
                <w:rFonts w:ascii="Times" w:hAnsi="Times"/>
                <w:i/>
                <w:sz w:val="20"/>
              </w:rPr>
              <w:lastRenderedPageBreak/>
              <w:t>videozapisi su u korelaciji s tečajevima podrške, skupom alata i primjerima koji se pružaju u nastavne svrhe na e-virtualnoj laboratorijskoj platformi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lastRenderedPageBreak/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7EE4" w:rsidRPr="00A61E6C" w:rsidRDefault="00D27EE4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Sveučilište,</w:t>
            </w:r>
          </w:p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Izvješće o provedbi projekta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3 seminara (100%)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CC2493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-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CC2493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-</w:t>
            </w:r>
          </w:p>
        </w:tc>
      </w:tr>
      <w:tr w:rsidR="00A61E6C" w:rsidRPr="00A61E6C" w:rsidTr="003817CC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3C440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Postotak dovršenosti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 xml:space="preserve">Jačanje znanstvene izvrsnosti i inovacijskog kapaciteta metoda 3D ispisa u </w:t>
            </w:r>
            <w:proofErr w:type="spellStart"/>
            <w:r w:rsidRPr="00A61E6C">
              <w:rPr>
                <w:rFonts w:ascii="Times" w:hAnsi="Times"/>
                <w:i/>
                <w:sz w:val="20"/>
              </w:rPr>
              <w:t>pandemijskom</w:t>
            </w:r>
            <w:proofErr w:type="spellEnd"/>
            <w:r w:rsidRPr="00A61E6C">
              <w:rPr>
                <w:rFonts w:ascii="Times" w:hAnsi="Times"/>
                <w:i/>
                <w:sz w:val="20"/>
              </w:rPr>
              <w:t xml:space="preserve"> razdoblju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 xml:space="preserve">e-studije slučajeva za projektnu metodu učenja koja se koristi u razvoju, ispitivanju i proizvodnji novih medicinskih proizvoda tehnologijama 3D ispisa u </w:t>
            </w:r>
            <w:proofErr w:type="spellStart"/>
            <w:r w:rsidRPr="00A61E6C">
              <w:rPr>
                <w:rFonts w:ascii="Times" w:hAnsi="Times"/>
                <w:i/>
                <w:sz w:val="20"/>
              </w:rPr>
              <w:t>pandemijskom</w:t>
            </w:r>
            <w:proofErr w:type="spellEnd"/>
            <w:r w:rsidRPr="00A61E6C">
              <w:rPr>
                <w:rFonts w:ascii="Times" w:hAnsi="Times"/>
                <w:i/>
                <w:sz w:val="20"/>
              </w:rPr>
              <w:t xml:space="preserve"> razdoblju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7EE4" w:rsidRPr="00A61E6C" w:rsidRDefault="00D27EE4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Sveučilište,</w:t>
            </w:r>
          </w:p>
          <w:p w:rsidR="00EA0547" w:rsidRPr="00A61E6C" w:rsidRDefault="00EA0547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Izvješće o provedbi projekta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1310A0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4</w:t>
            </w:r>
            <w:r w:rsidR="00EA0547" w:rsidRPr="00A61E6C">
              <w:rPr>
                <w:rFonts w:ascii="Times" w:hAnsi="Times"/>
                <w:i/>
                <w:sz w:val="20"/>
              </w:rPr>
              <w:t>0%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1310A0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-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547" w:rsidRPr="00A61E6C" w:rsidRDefault="00CC2493" w:rsidP="00EA0547">
            <w:pPr>
              <w:jc w:val="center"/>
              <w:rPr>
                <w:rFonts w:ascii="Times" w:hAnsi="Times"/>
                <w:i/>
                <w:sz w:val="20"/>
              </w:rPr>
            </w:pPr>
            <w:r w:rsidRPr="00A61E6C">
              <w:rPr>
                <w:rFonts w:ascii="Times" w:hAnsi="Times"/>
                <w:i/>
                <w:sz w:val="20"/>
              </w:rPr>
              <w:t>-</w:t>
            </w:r>
          </w:p>
        </w:tc>
      </w:tr>
      <w:tr w:rsidR="00A61E6C" w:rsidRPr="00A61E6C" w:rsidTr="003C716D">
        <w:trPr>
          <w:trHeight w:val="243"/>
        </w:trPr>
        <w:tc>
          <w:tcPr>
            <w:tcW w:w="9402" w:type="dxa"/>
            <w:gridSpan w:val="8"/>
            <w:shd w:val="clear" w:color="auto" w:fill="auto"/>
            <w:vAlign w:val="center"/>
          </w:tcPr>
          <w:p w:rsidR="003817CC" w:rsidRPr="00A61E6C" w:rsidRDefault="00C05F56" w:rsidP="00476487">
            <w:pPr>
              <w:pStyle w:val="ListParagraph"/>
              <w:ind w:left="1068"/>
              <w:rPr>
                <w:rFonts w:ascii="Times New Roman" w:hAnsi="Times New Roman"/>
                <w:i/>
                <w:szCs w:val="24"/>
              </w:rPr>
            </w:pPr>
            <w:r w:rsidRPr="00A61E6C">
              <w:rPr>
                <w:rFonts w:ascii="Times New Roman" w:hAnsi="Times New Roman" w:cs="Courier New"/>
                <w:i/>
                <w:shd w:val="clear" w:color="auto" w:fill="FFFFFF"/>
              </w:rPr>
              <w:t>A679075.02</w:t>
            </w:r>
            <w:r w:rsidR="00F57ED8" w:rsidRPr="00A61E6C">
              <w:rPr>
                <w:rFonts w:ascii="Times New Roman" w:hAnsi="Times New Roman" w:cs="Courier New"/>
                <w:i/>
                <w:shd w:val="clear" w:color="auto" w:fill="FFFFFF"/>
              </w:rPr>
              <w:t>7</w:t>
            </w:r>
            <w:r w:rsidRPr="00A61E6C">
              <w:rPr>
                <w:rFonts w:ascii="Times New Roman" w:hAnsi="Times New Roman" w:cs="Courier New"/>
                <w:i/>
                <w:shd w:val="clear" w:color="auto" w:fill="FFFFFF"/>
              </w:rPr>
              <w:t xml:space="preserve"> </w:t>
            </w:r>
            <w:r w:rsidR="00476487" w:rsidRPr="00A61E6C">
              <w:rPr>
                <w:rFonts w:cs="Courier New"/>
                <w:i/>
                <w:shd w:val="clear" w:color="auto" w:fill="FFFFFF"/>
              </w:rPr>
              <w:t xml:space="preserve">ERASMUS+ K203-078646 </w:t>
            </w:r>
            <w:proofErr w:type="spellStart"/>
            <w:r w:rsidR="00476487" w:rsidRPr="00A61E6C">
              <w:rPr>
                <w:rFonts w:cs="Courier New"/>
                <w:i/>
                <w:shd w:val="clear" w:color="auto" w:fill="FFFFFF"/>
              </w:rPr>
              <w:t>Promoting</w:t>
            </w:r>
            <w:proofErr w:type="spellEnd"/>
            <w:r w:rsidR="00476487" w:rsidRPr="00A61E6C">
              <w:rPr>
                <w:rFonts w:cs="Courier New"/>
                <w:i/>
                <w:shd w:val="clear" w:color="auto" w:fill="FFFFFF"/>
              </w:rPr>
              <w:t xml:space="preserve"> </w:t>
            </w:r>
            <w:proofErr w:type="spellStart"/>
            <w:r w:rsidR="00476487" w:rsidRPr="00A61E6C">
              <w:rPr>
                <w:rFonts w:cs="Courier New"/>
                <w:i/>
                <w:shd w:val="clear" w:color="auto" w:fill="FFFFFF"/>
              </w:rPr>
              <w:t>Sustainability</w:t>
            </w:r>
            <w:proofErr w:type="spellEnd"/>
            <w:r w:rsidR="00476487" w:rsidRPr="00A61E6C">
              <w:rPr>
                <w:rFonts w:cs="Courier New"/>
                <w:i/>
                <w:shd w:val="clear" w:color="auto" w:fill="FFFFFF"/>
              </w:rPr>
              <w:t xml:space="preserve"> as a </w:t>
            </w:r>
            <w:proofErr w:type="spellStart"/>
            <w:r w:rsidR="00476487" w:rsidRPr="00A61E6C">
              <w:rPr>
                <w:rFonts w:cs="Courier New"/>
                <w:i/>
                <w:shd w:val="clear" w:color="auto" w:fill="FFFFFF"/>
              </w:rPr>
              <w:t>Fundamental</w:t>
            </w:r>
            <w:proofErr w:type="spellEnd"/>
            <w:r w:rsidR="00476487" w:rsidRPr="00A61E6C">
              <w:rPr>
                <w:rFonts w:cs="Courier New"/>
                <w:i/>
                <w:shd w:val="clear" w:color="auto" w:fill="FFFFFF"/>
              </w:rPr>
              <w:t xml:space="preserve"> Driver </w:t>
            </w:r>
            <w:proofErr w:type="spellStart"/>
            <w:r w:rsidR="00476487" w:rsidRPr="00A61E6C">
              <w:rPr>
                <w:rFonts w:cs="Courier New"/>
                <w:i/>
                <w:shd w:val="clear" w:color="auto" w:fill="FFFFFF"/>
              </w:rPr>
              <w:t>in</w:t>
            </w:r>
            <w:proofErr w:type="spellEnd"/>
            <w:r w:rsidR="00476487" w:rsidRPr="00A61E6C">
              <w:rPr>
                <w:rFonts w:cs="Courier New"/>
                <w:i/>
                <w:shd w:val="clear" w:color="auto" w:fill="FFFFFF"/>
              </w:rPr>
              <w:t xml:space="preserve"> Software Development Training </w:t>
            </w:r>
            <w:proofErr w:type="spellStart"/>
            <w:r w:rsidR="00476487" w:rsidRPr="00A61E6C">
              <w:rPr>
                <w:rFonts w:cs="Courier New"/>
                <w:i/>
                <w:shd w:val="clear" w:color="auto" w:fill="FFFFFF"/>
              </w:rPr>
              <w:t>and</w:t>
            </w:r>
            <w:proofErr w:type="spellEnd"/>
            <w:r w:rsidR="00476487" w:rsidRPr="00A61E6C">
              <w:rPr>
                <w:rFonts w:cs="Courier New"/>
                <w:i/>
                <w:shd w:val="clear" w:color="auto" w:fill="FFFFFF"/>
              </w:rPr>
              <w:t xml:space="preserve"> </w:t>
            </w:r>
            <w:proofErr w:type="spellStart"/>
            <w:r w:rsidR="00476487" w:rsidRPr="00A61E6C">
              <w:rPr>
                <w:rFonts w:cs="Courier New"/>
                <w:i/>
                <w:shd w:val="clear" w:color="auto" w:fill="FFFFFF"/>
              </w:rPr>
              <w:t>Education</w:t>
            </w:r>
            <w:proofErr w:type="spellEnd"/>
          </w:p>
        </w:tc>
      </w:tr>
      <w:tr w:rsidR="00A61E6C" w:rsidRPr="00A61E6C" w:rsidTr="001310A0">
        <w:tblPrEx>
          <w:tblCellMar>
            <w:left w:w="108" w:type="dxa"/>
            <w:right w:w="108" w:type="dxa"/>
          </w:tblCellMar>
        </w:tblPrEx>
        <w:trPr>
          <w:trHeight w:val="2406"/>
        </w:trPr>
        <w:tc>
          <w:tcPr>
            <w:tcW w:w="1129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Broj osoba koje su u okviru projekta prisustvovale na transnacionalnim projektnim sastancima</w:t>
            </w:r>
          </w:p>
        </w:tc>
        <w:tc>
          <w:tcPr>
            <w:tcW w:w="1560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Transnacionalni projektni sastanci</w:t>
            </w:r>
          </w:p>
        </w:tc>
        <w:tc>
          <w:tcPr>
            <w:tcW w:w="1118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osoba</w:t>
            </w:r>
          </w:p>
        </w:tc>
        <w:tc>
          <w:tcPr>
            <w:tcW w:w="1119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2</w:t>
            </w:r>
          </w:p>
        </w:tc>
        <w:tc>
          <w:tcPr>
            <w:tcW w:w="1119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Sveučilište Izvješće o provedbi projekta, isplaćeni putni nalozi</w:t>
            </w:r>
          </w:p>
        </w:tc>
        <w:tc>
          <w:tcPr>
            <w:tcW w:w="1119" w:type="dxa"/>
            <w:hideMark/>
          </w:tcPr>
          <w:p w:rsidR="003817CC" w:rsidRPr="00A61E6C" w:rsidRDefault="001310A0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6</w:t>
            </w:r>
          </w:p>
        </w:tc>
        <w:tc>
          <w:tcPr>
            <w:tcW w:w="1119" w:type="dxa"/>
            <w:hideMark/>
          </w:tcPr>
          <w:p w:rsidR="003817CC" w:rsidRPr="00A61E6C" w:rsidRDefault="001310A0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/</w:t>
            </w:r>
          </w:p>
        </w:tc>
        <w:tc>
          <w:tcPr>
            <w:tcW w:w="1119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/</w:t>
            </w:r>
          </w:p>
        </w:tc>
      </w:tr>
      <w:tr w:rsidR="00A61E6C" w:rsidRPr="00A61E6C" w:rsidTr="003817CC">
        <w:tblPrEx>
          <w:tblCellMar>
            <w:left w:w="108" w:type="dxa"/>
            <w:right w:w="108" w:type="dxa"/>
          </w:tblCellMar>
        </w:tblPrEx>
        <w:tc>
          <w:tcPr>
            <w:tcW w:w="1129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Broj izrađenih prezentacija za usavršavanje nastavnika i studenata</w:t>
            </w:r>
          </w:p>
        </w:tc>
        <w:tc>
          <w:tcPr>
            <w:tcW w:w="1560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Rad na intelektualnim outputima prilikom izrade nastavnih materijala za usavršavanje nastavnika i studenata</w:t>
            </w:r>
          </w:p>
        </w:tc>
        <w:tc>
          <w:tcPr>
            <w:tcW w:w="1118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radni dan</w:t>
            </w:r>
          </w:p>
        </w:tc>
        <w:tc>
          <w:tcPr>
            <w:tcW w:w="1119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80</w:t>
            </w:r>
          </w:p>
        </w:tc>
        <w:tc>
          <w:tcPr>
            <w:tcW w:w="1119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Sveučilište Izvješće o provedbi projekta, Ugovor o autorskom djelu</w:t>
            </w:r>
          </w:p>
        </w:tc>
        <w:tc>
          <w:tcPr>
            <w:tcW w:w="1119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80</w:t>
            </w:r>
          </w:p>
        </w:tc>
        <w:tc>
          <w:tcPr>
            <w:tcW w:w="1119" w:type="dxa"/>
            <w:hideMark/>
          </w:tcPr>
          <w:p w:rsidR="003817CC" w:rsidRPr="00A61E6C" w:rsidRDefault="001310A0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/</w:t>
            </w:r>
          </w:p>
        </w:tc>
        <w:tc>
          <w:tcPr>
            <w:tcW w:w="1119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/</w:t>
            </w:r>
          </w:p>
        </w:tc>
      </w:tr>
      <w:tr w:rsidR="003817CC" w:rsidRPr="00A61E6C" w:rsidTr="003817CC">
        <w:tblPrEx>
          <w:tblCellMar>
            <w:left w:w="108" w:type="dxa"/>
            <w:right w:w="108" w:type="dxa"/>
          </w:tblCellMar>
        </w:tblPrEx>
        <w:tc>
          <w:tcPr>
            <w:tcW w:w="1129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Broj nastavnika/studenata koji su prisustvovali usavršavan</w:t>
            </w:r>
            <w:r w:rsidRPr="00A61E6C">
              <w:rPr>
                <w:i/>
                <w:sz w:val="20"/>
              </w:rPr>
              <w:lastRenderedPageBreak/>
              <w:t>jima organiziranim u projektu“</w:t>
            </w:r>
          </w:p>
        </w:tc>
        <w:tc>
          <w:tcPr>
            <w:tcW w:w="1560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lastRenderedPageBreak/>
              <w:t xml:space="preserve">Treninzi organizirani za nastavnike u visokom školstvu, studente, i </w:t>
            </w:r>
            <w:r w:rsidRPr="00A61E6C">
              <w:rPr>
                <w:i/>
                <w:sz w:val="20"/>
              </w:rPr>
              <w:lastRenderedPageBreak/>
              <w:t>zajednički treninzi</w:t>
            </w:r>
          </w:p>
        </w:tc>
        <w:tc>
          <w:tcPr>
            <w:tcW w:w="1118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lastRenderedPageBreak/>
              <w:t>sudionik</w:t>
            </w:r>
          </w:p>
        </w:tc>
        <w:tc>
          <w:tcPr>
            <w:tcW w:w="1119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2</w:t>
            </w:r>
          </w:p>
        </w:tc>
        <w:tc>
          <w:tcPr>
            <w:tcW w:w="1119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Sveučilište Izvješće o provedbi projekta, isplaćeni putni nalozi</w:t>
            </w:r>
          </w:p>
        </w:tc>
        <w:tc>
          <w:tcPr>
            <w:tcW w:w="1119" w:type="dxa"/>
            <w:hideMark/>
          </w:tcPr>
          <w:p w:rsidR="003817CC" w:rsidRPr="00A61E6C" w:rsidRDefault="001310A0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16</w:t>
            </w:r>
          </w:p>
        </w:tc>
        <w:tc>
          <w:tcPr>
            <w:tcW w:w="1119" w:type="dxa"/>
            <w:hideMark/>
          </w:tcPr>
          <w:p w:rsidR="003817CC" w:rsidRPr="00A61E6C" w:rsidRDefault="001310A0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/</w:t>
            </w:r>
          </w:p>
        </w:tc>
        <w:tc>
          <w:tcPr>
            <w:tcW w:w="1119" w:type="dxa"/>
            <w:hideMark/>
          </w:tcPr>
          <w:p w:rsidR="003817CC" w:rsidRPr="00A61E6C" w:rsidRDefault="003817CC" w:rsidP="003817CC">
            <w:pPr>
              <w:jc w:val="center"/>
              <w:rPr>
                <w:rFonts w:ascii="Roboto" w:hAnsi="Roboto" w:cs="Arial"/>
                <w:i/>
                <w:sz w:val="20"/>
              </w:rPr>
            </w:pPr>
            <w:r w:rsidRPr="00A61E6C">
              <w:rPr>
                <w:i/>
                <w:sz w:val="20"/>
              </w:rPr>
              <w:t>/</w:t>
            </w:r>
          </w:p>
        </w:tc>
      </w:tr>
    </w:tbl>
    <w:p w:rsidR="007E33B2" w:rsidRPr="00A61E6C" w:rsidRDefault="007E33B2" w:rsidP="007E33B2">
      <w:pPr>
        <w:jc w:val="both"/>
      </w:pPr>
    </w:p>
    <w:p w:rsidR="007E33B2" w:rsidRPr="00A61E6C" w:rsidRDefault="007E33B2" w:rsidP="007E33B2">
      <w:pPr>
        <w:jc w:val="both"/>
      </w:pPr>
    </w:p>
    <w:p w:rsidR="00C51C46" w:rsidRPr="00A61E6C" w:rsidRDefault="00C51C46" w:rsidP="00C51C46">
      <w:pPr>
        <w:jc w:val="both"/>
        <w:rPr>
          <w:i/>
        </w:rPr>
      </w:pPr>
    </w:p>
    <w:p w:rsidR="00C51C46" w:rsidRPr="00A61E6C" w:rsidRDefault="00C51C46" w:rsidP="00C51C46">
      <w:pPr>
        <w:jc w:val="both"/>
        <w:rPr>
          <w:i/>
        </w:rPr>
      </w:pPr>
    </w:p>
    <w:p w:rsidR="00C51C46" w:rsidRPr="00A61E6C" w:rsidRDefault="00C51C46" w:rsidP="00C51C46">
      <w:pPr>
        <w:jc w:val="both"/>
        <w:rPr>
          <w:i/>
        </w:rPr>
      </w:pPr>
    </w:p>
    <w:p w:rsidR="00C82588" w:rsidRPr="00A61E6C" w:rsidRDefault="00C82588" w:rsidP="00EF05CF">
      <w:pPr>
        <w:jc w:val="both"/>
      </w:pPr>
      <w:r w:rsidRPr="00A61E6C">
        <w:tab/>
      </w:r>
      <w:r w:rsidRPr="00A61E6C">
        <w:tab/>
      </w:r>
      <w:r w:rsidRPr="00A61E6C">
        <w:tab/>
      </w:r>
      <w:r w:rsidRPr="00A61E6C">
        <w:tab/>
      </w:r>
      <w:r w:rsidRPr="00A61E6C">
        <w:tab/>
      </w:r>
      <w:r w:rsidRPr="00A61E6C">
        <w:tab/>
      </w:r>
      <w:r w:rsidRPr="00A61E6C">
        <w:tab/>
      </w:r>
      <w:r w:rsidRPr="00A61E6C">
        <w:tab/>
        <w:t>Rektor:</w:t>
      </w:r>
    </w:p>
    <w:p w:rsidR="00C82588" w:rsidRPr="00A61E6C" w:rsidRDefault="00C82588" w:rsidP="00EF05CF">
      <w:pPr>
        <w:jc w:val="both"/>
      </w:pPr>
      <w:r w:rsidRPr="00A61E6C">
        <w:tab/>
      </w:r>
      <w:r w:rsidRPr="00A61E6C">
        <w:tab/>
      </w:r>
      <w:r w:rsidRPr="00A61E6C">
        <w:tab/>
      </w:r>
      <w:r w:rsidRPr="00A61E6C">
        <w:tab/>
      </w:r>
      <w:r w:rsidRPr="00A61E6C">
        <w:tab/>
      </w:r>
      <w:r w:rsidRPr="00A61E6C">
        <w:tab/>
      </w:r>
      <w:r w:rsidRPr="00A61E6C">
        <w:tab/>
      </w:r>
      <w:r w:rsidRPr="00A61E6C">
        <w:tab/>
        <w:t xml:space="preserve">Prof.dr.sc. </w:t>
      </w:r>
      <w:r w:rsidR="00BF2021" w:rsidRPr="00A61E6C">
        <w:t>Marinko Škare</w:t>
      </w:r>
    </w:p>
    <w:sectPr w:rsidR="00C82588" w:rsidRPr="00A61E6C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636" w:rsidRDefault="00517636">
      <w:r>
        <w:separator/>
      </w:r>
    </w:p>
  </w:endnote>
  <w:endnote w:type="continuationSeparator" w:id="0">
    <w:p w:rsidR="00517636" w:rsidRDefault="0051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charset w:val="00"/>
    <w:family w:val="roman"/>
    <w:pitch w:val="default"/>
  </w:font>
  <w:font w:name="Calibri (Body)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Content>
      <w:p w:rsidR="005C6744" w:rsidRDefault="005C67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:rsidR="005C6744" w:rsidRDefault="005C6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636" w:rsidRDefault="00517636">
      <w:r>
        <w:separator/>
      </w:r>
    </w:p>
  </w:footnote>
  <w:footnote w:type="continuationSeparator" w:id="0">
    <w:p w:rsidR="00517636" w:rsidRDefault="00517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1CE6"/>
    <w:multiLevelType w:val="hybridMultilevel"/>
    <w:tmpl w:val="E39457B4"/>
    <w:lvl w:ilvl="0" w:tplc="041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7347BFF"/>
    <w:multiLevelType w:val="hybridMultilevel"/>
    <w:tmpl w:val="FD262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23723"/>
    <w:multiLevelType w:val="hybridMultilevel"/>
    <w:tmpl w:val="6C707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E6507"/>
    <w:multiLevelType w:val="hybridMultilevel"/>
    <w:tmpl w:val="BFC806D4"/>
    <w:lvl w:ilvl="0" w:tplc="4C467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A36101"/>
    <w:multiLevelType w:val="hybridMultilevel"/>
    <w:tmpl w:val="14684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E247A"/>
    <w:multiLevelType w:val="hybridMultilevel"/>
    <w:tmpl w:val="6046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B7E7F"/>
    <w:multiLevelType w:val="hybridMultilevel"/>
    <w:tmpl w:val="8B64DB62"/>
    <w:lvl w:ilvl="0" w:tplc="D30C0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17C7E"/>
    <w:multiLevelType w:val="hybridMultilevel"/>
    <w:tmpl w:val="6046F10C"/>
    <w:lvl w:ilvl="0" w:tplc="4C1EA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549C"/>
    <w:multiLevelType w:val="hybridMultilevel"/>
    <w:tmpl w:val="446C7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C12BF"/>
    <w:multiLevelType w:val="hybridMultilevel"/>
    <w:tmpl w:val="17CEB1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119BB"/>
    <w:multiLevelType w:val="hybridMultilevel"/>
    <w:tmpl w:val="9D5C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7565E"/>
    <w:multiLevelType w:val="hybridMultilevel"/>
    <w:tmpl w:val="FCEC8C0A"/>
    <w:lvl w:ilvl="0" w:tplc="ACF6D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815DFF"/>
    <w:multiLevelType w:val="multilevel"/>
    <w:tmpl w:val="9CC0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3430C"/>
    <w:multiLevelType w:val="hybridMultilevel"/>
    <w:tmpl w:val="FCEC8C0A"/>
    <w:lvl w:ilvl="0" w:tplc="ACF6D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F52C16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B3A11"/>
    <w:multiLevelType w:val="hybridMultilevel"/>
    <w:tmpl w:val="13749B8A"/>
    <w:lvl w:ilvl="0" w:tplc="5F36F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21"/>
  </w:num>
  <w:num w:numId="5">
    <w:abstractNumId w:val="3"/>
  </w:num>
  <w:num w:numId="6">
    <w:abstractNumId w:val="4"/>
  </w:num>
  <w:num w:numId="7">
    <w:abstractNumId w:val="18"/>
  </w:num>
  <w:num w:numId="8">
    <w:abstractNumId w:val="0"/>
  </w:num>
  <w:num w:numId="9">
    <w:abstractNumId w:val="25"/>
  </w:num>
  <w:num w:numId="10">
    <w:abstractNumId w:val="12"/>
  </w:num>
  <w:num w:numId="11">
    <w:abstractNumId w:val="16"/>
  </w:num>
  <w:num w:numId="12">
    <w:abstractNumId w:val="2"/>
  </w:num>
  <w:num w:numId="13">
    <w:abstractNumId w:val="22"/>
  </w:num>
  <w:num w:numId="14">
    <w:abstractNumId w:val="1"/>
  </w:num>
  <w:num w:numId="15">
    <w:abstractNumId w:val="11"/>
  </w:num>
  <w:num w:numId="16">
    <w:abstractNumId w:val="14"/>
  </w:num>
  <w:num w:numId="17">
    <w:abstractNumId w:val="10"/>
  </w:num>
  <w:num w:numId="18">
    <w:abstractNumId w:val="7"/>
  </w:num>
  <w:num w:numId="19">
    <w:abstractNumId w:val="9"/>
  </w:num>
  <w:num w:numId="20">
    <w:abstractNumId w:val="15"/>
  </w:num>
  <w:num w:numId="21">
    <w:abstractNumId w:val="20"/>
  </w:num>
  <w:num w:numId="22">
    <w:abstractNumId w:val="19"/>
  </w:num>
  <w:num w:numId="23">
    <w:abstractNumId w:val="17"/>
  </w:num>
  <w:num w:numId="24">
    <w:abstractNumId w:val="8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6A77"/>
    <w:rsid w:val="000079CA"/>
    <w:rsid w:val="00011A5B"/>
    <w:rsid w:val="00013AE5"/>
    <w:rsid w:val="00015AED"/>
    <w:rsid w:val="00020F86"/>
    <w:rsid w:val="00021B82"/>
    <w:rsid w:val="00023E1D"/>
    <w:rsid w:val="00023F19"/>
    <w:rsid w:val="00026DBD"/>
    <w:rsid w:val="00032948"/>
    <w:rsid w:val="0003315A"/>
    <w:rsid w:val="00035850"/>
    <w:rsid w:val="00037DCF"/>
    <w:rsid w:val="00040BC1"/>
    <w:rsid w:val="0004394B"/>
    <w:rsid w:val="00045798"/>
    <w:rsid w:val="00045970"/>
    <w:rsid w:val="00055EC8"/>
    <w:rsid w:val="00062B4E"/>
    <w:rsid w:val="00063628"/>
    <w:rsid w:val="000667F8"/>
    <w:rsid w:val="00067BF5"/>
    <w:rsid w:val="00070ACE"/>
    <w:rsid w:val="00076194"/>
    <w:rsid w:val="00077EFE"/>
    <w:rsid w:val="00080B05"/>
    <w:rsid w:val="00081D2C"/>
    <w:rsid w:val="00083A74"/>
    <w:rsid w:val="000927DE"/>
    <w:rsid w:val="000968AA"/>
    <w:rsid w:val="000A5A95"/>
    <w:rsid w:val="000B1486"/>
    <w:rsid w:val="000B3C5B"/>
    <w:rsid w:val="000B444C"/>
    <w:rsid w:val="000B7718"/>
    <w:rsid w:val="000C15CB"/>
    <w:rsid w:val="000C5AD5"/>
    <w:rsid w:val="000C7476"/>
    <w:rsid w:val="000D52D6"/>
    <w:rsid w:val="000E05C7"/>
    <w:rsid w:val="000E1267"/>
    <w:rsid w:val="000E33E8"/>
    <w:rsid w:val="000E58A9"/>
    <w:rsid w:val="000F04F2"/>
    <w:rsid w:val="000F0F88"/>
    <w:rsid w:val="001001D1"/>
    <w:rsid w:val="00101C0F"/>
    <w:rsid w:val="0010214D"/>
    <w:rsid w:val="001037E9"/>
    <w:rsid w:val="00104634"/>
    <w:rsid w:val="00111303"/>
    <w:rsid w:val="00113EBA"/>
    <w:rsid w:val="00114886"/>
    <w:rsid w:val="00130FC0"/>
    <w:rsid w:val="001310A0"/>
    <w:rsid w:val="00131B25"/>
    <w:rsid w:val="0013321B"/>
    <w:rsid w:val="0013325F"/>
    <w:rsid w:val="00134697"/>
    <w:rsid w:val="00134974"/>
    <w:rsid w:val="00134C52"/>
    <w:rsid w:val="001426CC"/>
    <w:rsid w:val="00145F9C"/>
    <w:rsid w:val="00155799"/>
    <w:rsid w:val="00165763"/>
    <w:rsid w:val="00165929"/>
    <w:rsid w:val="00167072"/>
    <w:rsid w:val="00170E8C"/>
    <w:rsid w:val="00172253"/>
    <w:rsid w:val="0017650D"/>
    <w:rsid w:val="00184D61"/>
    <w:rsid w:val="00190034"/>
    <w:rsid w:val="00194357"/>
    <w:rsid w:val="00197C91"/>
    <w:rsid w:val="001A0054"/>
    <w:rsid w:val="001A283C"/>
    <w:rsid w:val="001A34B3"/>
    <w:rsid w:val="001A5B8A"/>
    <w:rsid w:val="001A7EF3"/>
    <w:rsid w:val="001B097E"/>
    <w:rsid w:val="001B0EA9"/>
    <w:rsid w:val="001B0F7A"/>
    <w:rsid w:val="001B3D2E"/>
    <w:rsid w:val="001B3ED8"/>
    <w:rsid w:val="001C18D3"/>
    <w:rsid w:val="001C4502"/>
    <w:rsid w:val="001C6323"/>
    <w:rsid w:val="001D733E"/>
    <w:rsid w:val="001D7F07"/>
    <w:rsid w:val="001E3E29"/>
    <w:rsid w:val="001E6FB4"/>
    <w:rsid w:val="00203D2E"/>
    <w:rsid w:val="0020458D"/>
    <w:rsid w:val="00205D27"/>
    <w:rsid w:val="002064B3"/>
    <w:rsid w:val="00206DC5"/>
    <w:rsid w:val="00220BF7"/>
    <w:rsid w:val="0022396C"/>
    <w:rsid w:val="00225A8A"/>
    <w:rsid w:val="00227D81"/>
    <w:rsid w:val="00230C39"/>
    <w:rsid w:val="002316A8"/>
    <w:rsid w:val="00233F3E"/>
    <w:rsid w:val="00236B00"/>
    <w:rsid w:val="00237464"/>
    <w:rsid w:val="0024466E"/>
    <w:rsid w:val="0025718F"/>
    <w:rsid w:val="002579AE"/>
    <w:rsid w:val="002617E3"/>
    <w:rsid w:val="0026307B"/>
    <w:rsid w:val="002639E0"/>
    <w:rsid w:val="002644FD"/>
    <w:rsid w:val="00270CB2"/>
    <w:rsid w:val="00270EBA"/>
    <w:rsid w:val="002743C7"/>
    <w:rsid w:val="00274910"/>
    <w:rsid w:val="00284EB9"/>
    <w:rsid w:val="00286CFC"/>
    <w:rsid w:val="002879F3"/>
    <w:rsid w:val="0029653A"/>
    <w:rsid w:val="002965E2"/>
    <w:rsid w:val="002A6C8A"/>
    <w:rsid w:val="002B2FC3"/>
    <w:rsid w:val="002B3609"/>
    <w:rsid w:val="002B561F"/>
    <w:rsid w:val="002B7C75"/>
    <w:rsid w:val="002C08F9"/>
    <w:rsid w:val="002C1C82"/>
    <w:rsid w:val="002C3FB0"/>
    <w:rsid w:val="002C458C"/>
    <w:rsid w:val="002C7121"/>
    <w:rsid w:val="002C788C"/>
    <w:rsid w:val="002D1CD4"/>
    <w:rsid w:val="002D444E"/>
    <w:rsid w:val="002D494D"/>
    <w:rsid w:val="002D5F10"/>
    <w:rsid w:val="002E38D5"/>
    <w:rsid w:val="002E4790"/>
    <w:rsid w:val="002E48E5"/>
    <w:rsid w:val="002E7831"/>
    <w:rsid w:val="002F0495"/>
    <w:rsid w:val="002F307B"/>
    <w:rsid w:val="002F377B"/>
    <w:rsid w:val="002F7F1F"/>
    <w:rsid w:val="00302244"/>
    <w:rsid w:val="00306900"/>
    <w:rsid w:val="00306CF0"/>
    <w:rsid w:val="00317967"/>
    <w:rsid w:val="003237CF"/>
    <w:rsid w:val="003239CD"/>
    <w:rsid w:val="00324025"/>
    <w:rsid w:val="00324189"/>
    <w:rsid w:val="003254DA"/>
    <w:rsid w:val="00325B8F"/>
    <w:rsid w:val="003306AF"/>
    <w:rsid w:val="0033332B"/>
    <w:rsid w:val="00334BAE"/>
    <w:rsid w:val="003441B4"/>
    <w:rsid w:val="003444DD"/>
    <w:rsid w:val="0034514F"/>
    <w:rsid w:val="0036134E"/>
    <w:rsid w:val="00362C9B"/>
    <w:rsid w:val="00363C8A"/>
    <w:rsid w:val="00363F3D"/>
    <w:rsid w:val="003650CD"/>
    <w:rsid w:val="00367C03"/>
    <w:rsid w:val="00370306"/>
    <w:rsid w:val="0037221D"/>
    <w:rsid w:val="0037720D"/>
    <w:rsid w:val="003802DC"/>
    <w:rsid w:val="00380EC0"/>
    <w:rsid w:val="003817CC"/>
    <w:rsid w:val="00384CAE"/>
    <w:rsid w:val="00391076"/>
    <w:rsid w:val="003A4BB6"/>
    <w:rsid w:val="003A5DF3"/>
    <w:rsid w:val="003A77CD"/>
    <w:rsid w:val="003B1606"/>
    <w:rsid w:val="003B29E8"/>
    <w:rsid w:val="003B2CF0"/>
    <w:rsid w:val="003B66A5"/>
    <w:rsid w:val="003B674B"/>
    <w:rsid w:val="003C418E"/>
    <w:rsid w:val="003C4407"/>
    <w:rsid w:val="003C4581"/>
    <w:rsid w:val="003C716D"/>
    <w:rsid w:val="003C719B"/>
    <w:rsid w:val="003D0479"/>
    <w:rsid w:val="003D16C7"/>
    <w:rsid w:val="003D21D7"/>
    <w:rsid w:val="003D5FC9"/>
    <w:rsid w:val="003D6907"/>
    <w:rsid w:val="003D7FBD"/>
    <w:rsid w:val="003E6312"/>
    <w:rsid w:val="003F1D1F"/>
    <w:rsid w:val="003F2B54"/>
    <w:rsid w:val="003F64F4"/>
    <w:rsid w:val="003F7BC0"/>
    <w:rsid w:val="004012B8"/>
    <w:rsid w:val="0041209B"/>
    <w:rsid w:val="00415A48"/>
    <w:rsid w:val="004220E6"/>
    <w:rsid w:val="004253F4"/>
    <w:rsid w:val="004308F8"/>
    <w:rsid w:val="0043208D"/>
    <w:rsid w:val="00432F80"/>
    <w:rsid w:val="00436764"/>
    <w:rsid w:val="00440047"/>
    <w:rsid w:val="004426CF"/>
    <w:rsid w:val="00445616"/>
    <w:rsid w:val="0044697F"/>
    <w:rsid w:val="0045015F"/>
    <w:rsid w:val="004532FF"/>
    <w:rsid w:val="00455B7C"/>
    <w:rsid w:val="004562C9"/>
    <w:rsid w:val="00457A4D"/>
    <w:rsid w:val="00461989"/>
    <w:rsid w:val="00471DFB"/>
    <w:rsid w:val="00471FDB"/>
    <w:rsid w:val="0047264F"/>
    <w:rsid w:val="00472F94"/>
    <w:rsid w:val="00476487"/>
    <w:rsid w:val="00480654"/>
    <w:rsid w:val="00482C87"/>
    <w:rsid w:val="004830EC"/>
    <w:rsid w:val="00483207"/>
    <w:rsid w:val="00490782"/>
    <w:rsid w:val="00491BDE"/>
    <w:rsid w:val="00493364"/>
    <w:rsid w:val="00496A0A"/>
    <w:rsid w:val="004A3BDD"/>
    <w:rsid w:val="004A4AFB"/>
    <w:rsid w:val="004B4BF1"/>
    <w:rsid w:val="004C08EC"/>
    <w:rsid w:val="004C3A59"/>
    <w:rsid w:val="004C58C6"/>
    <w:rsid w:val="004C714C"/>
    <w:rsid w:val="004D75AF"/>
    <w:rsid w:val="004E02C5"/>
    <w:rsid w:val="004E3B44"/>
    <w:rsid w:val="004E45E7"/>
    <w:rsid w:val="004E556B"/>
    <w:rsid w:val="004E6B4C"/>
    <w:rsid w:val="004F0E85"/>
    <w:rsid w:val="004F5316"/>
    <w:rsid w:val="005010EF"/>
    <w:rsid w:val="00504EB3"/>
    <w:rsid w:val="00505500"/>
    <w:rsid w:val="00510E14"/>
    <w:rsid w:val="00512EEC"/>
    <w:rsid w:val="00513E28"/>
    <w:rsid w:val="00516E07"/>
    <w:rsid w:val="00517636"/>
    <w:rsid w:val="0052216A"/>
    <w:rsid w:val="00524C6A"/>
    <w:rsid w:val="00526F2B"/>
    <w:rsid w:val="00527F9F"/>
    <w:rsid w:val="00530711"/>
    <w:rsid w:val="00530CEF"/>
    <w:rsid w:val="00534DA0"/>
    <w:rsid w:val="00545E7B"/>
    <w:rsid w:val="00547116"/>
    <w:rsid w:val="00552799"/>
    <w:rsid w:val="005660A4"/>
    <w:rsid w:val="00572B63"/>
    <w:rsid w:val="00573D14"/>
    <w:rsid w:val="00575710"/>
    <w:rsid w:val="00583439"/>
    <w:rsid w:val="00585281"/>
    <w:rsid w:val="00585D1E"/>
    <w:rsid w:val="00590BEB"/>
    <w:rsid w:val="00594DBB"/>
    <w:rsid w:val="0059560F"/>
    <w:rsid w:val="005961B5"/>
    <w:rsid w:val="00597171"/>
    <w:rsid w:val="005A063C"/>
    <w:rsid w:val="005A25E7"/>
    <w:rsid w:val="005A31D2"/>
    <w:rsid w:val="005A545C"/>
    <w:rsid w:val="005A74D8"/>
    <w:rsid w:val="005A7C1C"/>
    <w:rsid w:val="005B0F4D"/>
    <w:rsid w:val="005B3081"/>
    <w:rsid w:val="005B3AFF"/>
    <w:rsid w:val="005B425F"/>
    <w:rsid w:val="005B4D5B"/>
    <w:rsid w:val="005B72F1"/>
    <w:rsid w:val="005C1A30"/>
    <w:rsid w:val="005C29FD"/>
    <w:rsid w:val="005C4D81"/>
    <w:rsid w:val="005C6744"/>
    <w:rsid w:val="005E1560"/>
    <w:rsid w:val="005E1961"/>
    <w:rsid w:val="005E5DD9"/>
    <w:rsid w:val="005E6901"/>
    <w:rsid w:val="005F3B3D"/>
    <w:rsid w:val="005F42EA"/>
    <w:rsid w:val="005F6650"/>
    <w:rsid w:val="006001F4"/>
    <w:rsid w:val="00600BA7"/>
    <w:rsid w:val="0061302E"/>
    <w:rsid w:val="00613F72"/>
    <w:rsid w:val="00621AB4"/>
    <w:rsid w:val="0062439C"/>
    <w:rsid w:val="006277F1"/>
    <w:rsid w:val="00630045"/>
    <w:rsid w:val="00634617"/>
    <w:rsid w:val="00634709"/>
    <w:rsid w:val="00634750"/>
    <w:rsid w:val="00635B39"/>
    <w:rsid w:val="00635D7F"/>
    <w:rsid w:val="00641DA6"/>
    <w:rsid w:val="00645328"/>
    <w:rsid w:val="006456B1"/>
    <w:rsid w:val="00645872"/>
    <w:rsid w:val="00647EF0"/>
    <w:rsid w:val="006521CA"/>
    <w:rsid w:val="00656A91"/>
    <w:rsid w:val="00656AD7"/>
    <w:rsid w:val="00660FBE"/>
    <w:rsid w:val="006624E8"/>
    <w:rsid w:val="00662789"/>
    <w:rsid w:val="00665624"/>
    <w:rsid w:val="00667940"/>
    <w:rsid w:val="00675A84"/>
    <w:rsid w:val="0067608F"/>
    <w:rsid w:val="00685BFA"/>
    <w:rsid w:val="00692442"/>
    <w:rsid w:val="00692448"/>
    <w:rsid w:val="0069347D"/>
    <w:rsid w:val="0069359C"/>
    <w:rsid w:val="00695316"/>
    <w:rsid w:val="006A22D2"/>
    <w:rsid w:val="006A7592"/>
    <w:rsid w:val="006C3D72"/>
    <w:rsid w:val="006C4A4F"/>
    <w:rsid w:val="006C6983"/>
    <w:rsid w:val="006D32C4"/>
    <w:rsid w:val="006D362B"/>
    <w:rsid w:val="006D487E"/>
    <w:rsid w:val="006D4A5C"/>
    <w:rsid w:val="006D63AA"/>
    <w:rsid w:val="006D64D7"/>
    <w:rsid w:val="006E0C05"/>
    <w:rsid w:val="006E0C0D"/>
    <w:rsid w:val="006E6D1A"/>
    <w:rsid w:val="006E7D38"/>
    <w:rsid w:val="006F260C"/>
    <w:rsid w:val="00703212"/>
    <w:rsid w:val="0070462F"/>
    <w:rsid w:val="007055BC"/>
    <w:rsid w:val="00706120"/>
    <w:rsid w:val="00711375"/>
    <w:rsid w:val="007126AE"/>
    <w:rsid w:val="007151C7"/>
    <w:rsid w:val="0071657B"/>
    <w:rsid w:val="00717385"/>
    <w:rsid w:val="007239D0"/>
    <w:rsid w:val="00725E00"/>
    <w:rsid w:val="007260DD"/>
    <w:rsid w:val="00726346"/>
    <w:rsid w:val="007351E3"/>
    <w:rsid w:val="007369ED"/>
    <w:rsid w:val="00746C8B"/>
    <w:rsid w:val="0075069B"/>
    <w:rsid w:val="00752C36"/>
    <w:rsid w:val="00753837"/>
    <w:rsid w:val="00756DFC"/>
    <w:rsid w:val="0076400A"/>
    <w:rsid w:val="007703A8"/>
    <w:rsid w:val="00773D13"/>
    <w:rsid w:val="00776390"/>
    <w:rsid w:val="007769E7"/>
    <w:rsid w:val="0078369E"/>
    <w:rsid w:val="0079091F"/>
    <w:rsid w:val="00792F27"/>
    <w:rsid w:val="00795BA0"/>
    <w:rsid w:val="0079703C"/>
    <w:rsid w:val="007A036F"/>
    <w:rsid w:val="007A15BA"/>
    <w:rsid w:val="007A3E1E"/>
    <w:rsid w:val="007A52B3"/>
    <w:rsid w:val="007B2045"/>
    <w:rsid w:val="007B32A9"/>
    <w:rsid w:val="007B406F"/>
    <w:rsid w:val="007C7780"/>
    <w:rsid w:val="007D1822"/>
    <w:rsid w:val="007D7A3B"/>
    <w:rsid w:val="007D7BDE"/>
    <w:rsid w:val="007E33B2"/>
    <w:rsid w:val="007E54AC"/>
    <w:rsid w:val="007F2DA1"/>
    <w:rsid w:val="00801996"/>
    <w:rsid w:val="00810045"/>
    <w:rsid w:val="0081052D"/>
    <w:rsid w:val="00812B7F"/>
    <w:rsid w:val="00813ECF"/>
    <w:rsid w:val="008202C4"/>
    <w:rsid w:val="00821005"/>
    <w:rsid w:val="008223B8"/>
    <w:rsid w:val="00822A07"/>
    <w:rsid w:val="00823318"/>
    <w:rsid w:val="00833C3B"/>
    <w:rsid w:val="00837A3E"/>
    <w:rsid w:val="0084357B"/>
    <w:rsid w:val="00846E65"/>
    <w:rsid w:val="00860859"/>
    <w:rsid w:val="00861CCD"/>
    <w:rsid w:val="00870694"/>
    <w:rsid w:val="008722E8"/>
    <w:rsid w:val="008726CD"/>
    <w:rsid w:val="008750BD"/>
    <w:rsid w:val="00881DC7"/>
    <w:rsid w:val="00881F79"/>
    <w:rsid w:val="00882E6E"/>
    <w:rsid w:val="008833EF"/>
    <w:rsid w:val="00884070"/>
    <w:rsid w:val="00887848"/>
    <w:rsid w:val="00887868"/>
    <w:rsid w:val="00887925"/>
    <w:rsid w:val="00890000"/>
    <w:rsid w:val="00891C15"/>
    <w:rsid w:val="008928D0"/>
    <w:rsid w:val="00892AC2"/>
    <w:rsid w:val="00893015"/>
    <w:rsid w:val="008931F1"/>
    <w:rsid w:val="008A0ABD"/>
    <w:rsid w:val="008A25E4"/>
    <w:rsid w:val="008A3158"/>
    <w:rsid w:val="008B08D6"/>
    <w:rsid w:val="008B246E"/>
    <w:rsid w:val="008B5991"/>
    <w:rsid w:val="008C12C7"/>
    <w:rsid w:val="008C2ECA"/>
    <w:rsid w:val="008C3429"/>
    <w:rsid w:val="008C6DA3"/>
    <w:rsid w:val="008C7ADA"/>
    <w:rsid w:val="008C7D5B"/>
    <w:rsid w:val="008D1603"/>
    <w:rsid w:val="008D649E"/>
    <w:rsid w:val="008F14F0"/>
    <w:rsid w:val="008F23F5"/>
    <w:rsid w:val="008F254B"/>
    <w:rsid w:val="008F764A"/>
    <w:rsid w:val="008F7A68"/>
    <w:rsid w:val="009028DA"/>
    <w:rsid w:val="00905EB4"/>
    <w:rsid w:val="009119D3"/>
    <w:rsid w:val="00913B68"/>
    <w:rsid w:val="0091452F"/>
    <w:rsid w:val="00917A3A"/>
    <w:rsid w:val="009203D1"/>
    <w:rsid w:val="00923475"/>
    <w:rsid w:val="00930ADA"/>
    <w:rsid w:val="00932A24"/>
    <w:rsid w:val="00942FD1"/>
    <w:rsid w:val="00944C25"/>
    <w:rsid w:val="0094546E"/>
    <w:rsid w:val="00945C6B"/>
    <w:rsid w:val="009525A9"/>
    <w:rsid w:val="00952EED"/>
    <w:rsid w:val="00953B20"/>
    <w:rsid w:val="0095434E"/>
    <w:rsid w:val="00954371"/>
    <w:rsid w:val="0095594E"/>
    <w:rsid w:val="00960F22"/>
    <w:rsid w:val="00961BC0"/>
    <w:rsid w:val="00966EB8"/>
    <w:rsid w:val="00967C08"/>
    <w:rsid w:val="0097055A"/>
    <w:rsid w:val="00977373"/>
    <w:rsid w:val="009835FD"/>
    <w:rsid w:val="00984FB6"/>
    <w:rsid w:val="0098512B"/>
    <w:rsid w:val="00994478"/>
    <w:rsid w:val="0099769A"/>
    <w:rsid w:val="009A009A"/>
    <w:rsid w:val="009A16EF"/>
    <w:rsid w:val="009A18D0"/>
    <w:rsid w:val="009A1F94"/>
    <w:rsid w:val="009A331F"/>
    <w:rsid w:val="009A3CD7"/>
    <w:rsid w:val="009A48D7"/>
    <w:rsid w:val="009A65A8"/>
    <w:rsid w:val="009B4B68"/>
    <w:rsid w:val="009B66DF"/>
    <w:rsid w:val="009B684C"/>
    <w:rsid w:val="009C4DD8"/>
    <w:rsid w:val="009C67A3"/>
    <w:rsid w:val="009C7912"/>
    <w:rsid w:val="009D1474"/>
    <w:rsid w:val="009D1DF0"/>
    <w:rsid w:val="009D32B3"/>
    <w:rsid w:val="009D5204"/>
    <w:rsid w:val="009D6D16"/>
    <w:rsid w:val="009E1A7C"/>
    <w:rsid w:val="009E1D1B"/>
    <w:rsid w:val="009E2203"/>
    <w:rsid w:val="009E3C69"/>
    <w:rsid w:val="009E5D43"/>
    <w:rsid w:val="009F3FB7"/>
    <w:rsid w:val="009F62BB"/>
    <w:rsid w:val="009F7B6A"/>
    <w:rsid w:val="00A1218E"/>
    <w:rsid w:val="00A12D7F"/>
    <w:rsid w:val="00A13C34"/>
    <w:rsid w:val="00A2500A"/>
    <w:rsid w:val="00A25767"/>
    <w:rsid w:val="00A265E4"/>
    <w:rsid w:val="00A31918"/>
    <w:rsid w:val="00A40767"/>
    <w:rsid w:val="00A447D2"/>
    <w:rsid w:val="00A4485A"/>
    <w:rsid w:val="00A45D8E"/>
    <w:rsid w:val="00A550BD"/>
    <w:rsid w:val="00A57D93"/>
    <w:rsid w:val="00A61E6C"/>
    <w:rsid w:val="00A64437"/>
    <w:rsid w:val="00A655CE"/>
    <w:rsid w:val="00A655D1"/>
    <w:rsid w:val="00A73B76"/>
    <w:rsid w:val="00A76021"/>
    <w:rsid w:val="00A83F23"/>
    <w:rsid w:val="00A841A1"/>
    <w:rsid w:val="00A87350"/>
    <w:rsid w:val="00A92E30"/>
    <w:rsid w:val="00A95AC4"/>
    <w:rsid w:val="00A96DF2"/>
    <w:rsid w:val="00AA6BCF"/>
    <w:rsid w:val="00AB4463"/>
    <w:rsid w:val="00AB4980"/>
    <w:rsid w:val="00AC58DA"/>
    <w:rsid w:val="00AD4FC0"/>
    <w:rsid w:val="00AD6A76"/>
    <w:rsid w:val="00AD72E6"/>
    <w:rsid w:val="00AE6AAC"/>
    <w:rsid w:val="00AE6C12"/>
    <w:rsid w:val="00AF3C39"/>
    <w:rsid w:val="00AF4A6F"/>
    <w:rsid w:val="00B030A6"/>
    <w:rsid w:val="00B10325"/>
    <w:rsid w:val="00B14B59"/>
    <w:rsid w:val="00B256DB"/>
    <w:rsid w:val="00B3069B"/>
    <w:rsid w:val="00B31535"/>
    <w:rsid w:val="00B3292A"/>
    <w:rsid w:val="00B33C65"/>
    <w:rsid w:val="00B43445"/>
    <w:rsid w:val="00B4413C"/>
    <w:rsid w:val="00B453A8"/>
    <w:rsid w:val="00B5413F"/>
    <w:rsid w:val="00B60C82"/>
    <w:rsid w:val="00B71DFF"/>
    <w:rsid w:val="00B7598C"/>
    <w:rsid w:val="00B77A7D"/>
    <w:rsid w:val="00BA02FD"/>
    <w:rsid w:val="00BA2AA4"/>
    <w:rsid w:val="00BA4AD5"/>
    <w:rsid w:val="00BA5957"/>
    <w:rsid w:val="00BB3706"/>
    <w:rsid w:val="00BB3E70"/>
    <w:rsid w:val="00BB47B9"/>
    <w:rsid w:val="00BC2AF2"/>
    <w:rsid w:val="00BC56DD"/>
    <w:rsid w:val="00BC6F9A"/>
    <w:rsid w:val="00BD2F5E"/>
    <w:rsid w:val="00BD4DEB"/>
    <w:rsid w:val="00BD7FDD"/>
    <w:rsid w:val="00BE2C27"/>
    <w:rsid w:val="00BE741E"/>
    <w:rsid w:val="00BF0FE6"/>
    <w:rsid w:val="00BF2021"/>
    <w:rsid w:val="00BF2A71"/>
    <w:rsid w:val="00BF4CE7"/>
    <w:rsid w:val="00BF50B1"/>
    <w:rsid w:val="00C0168C"/>
    <w:rsid w:val="00C01B16"/>
    <w:rsid w:val="00C05F56"/>
    <w:rsid w:val="00C07DD8"/>
    <w:rsid w:val="00C3090B"/>
    <w:rsid w:val="00C311C4"/>
    <w:rsid w:val="00C349E1"/>
    <w:rsid w:val="00C35DF3"/>
    <w:rsid w:val="00C36BDF"/>
    <w:rsid w:val="00C40BC1"/>
    <w:rsid w:val="00C41FE8"/>
    <w:rsid w:val="00C45EDA"/>
    <w:rsid w:val="00C51C46"/>
    <w:rsid w:val="00C51F56"/>
    <w:rsid w:val="00C53D67"/>
    <w:rsid w:val="00C54B88"/>
    <w:rsid w:val="00C56C95"/>
    <w:rsid w:val="00C61AE0"/>
    <w:rsid w:val="00C64880"/>
    <w:rsid w:val="00C72A42"/>
    <w:rsid w:val="00C73478"/>
    <w:rsid w:val="00C82588"/>
    <w:rsid w:val="00C84559"/>
    <w:rsid w:val="00C878B8"/>
    <w:rsid w:val="00C87C54"/>
    <w:rsid w:val="00C9044B"/>
    <w:rsid w:val="00C928AE"/>
    <w:rsid w:val="00C92CD8"/>
    <w:rsid w:val="00C93387"/>
    <w:rsid w:val="00C96234"/>
    <w:rsid w:val="00C97A9D"/>
    <w:rsid w:val="00CA0CF0"/>
    <w:rsid w:val="00CA1CFF"/>
    <w:rsid w:val="00CB251E"/>
    <w:rsid w:val="00CB3DDE"/>
    <w:rsid w:val="00CB61AD"/>
    <w:rsid w:val="00CB764D"/>
    <w:rsid w:val="00CC2493"/>
    <w:rsid w:val="00CC4C52"/>
    <w:rsid w:val="00CC5E8A"/>
    <w:rsid w:val="00CD3809"/>
    <w:rsid w:val="00CD497E"/>
    <w:rsid w:val="00CE42AE"/>
    <w:rsid w:val="00CE4D61"/>
    <w:rsid w:val="00CE5373"/>
    <w:rsid w:val="00CE754C"/>
    <w:rsid w:val="00CF03A1"/>
    <w:rsid w:val="00CF119A"/>
    <w:rsid w:val="00CF5FBD"/>
    <w:rsid w:val="00CF6BF8"/>
    <w:rsid w:val="00D03AA8"/>
    <w:rsid w:val="00D04B44"/>
    <w:rsid w:val="00D111E7"/>
    <w:rsid w:val="00D2178A"/>
    <w:rsid w:val="00D22624"/>
    <w:rsid w:val="00D25141"/>
    <w:rsid w:val="00D27EE4"/>
    <w:rsid w:val="00D32AAB"/>
    <w:rsid w:val="00D32C27"/>
    <w:rsid w:val="00D401DD"/>
    <w:rsid w:val="00D40734"/>
    <w:rsid w:val="00D425F1"/>
    <w:rsid w:val="00D42AF8"/>
    <w:rsid w:val="00D43D62"/>
    <w:rsid w:val="00D60643"/>
    <w:rsid w:val="00D6666C"/>
    <w:rsid w:val="00D67FF5"/>
    <w:rsid w:val="00D7241E"/>
    <w:rsid w:val="00D82C7B"/>
    <w:rsid w:val="00D82E72"/>
    <w:rsid w:val="00D84711"/>
    <w:rsid w:val="00D90DA7"/>
    <w:rsid w:val="00DA1011"/>
    <w:rsid w:val="00DA3460"/>
    <w:rsid w:val="00DA40BC"/>
    <w:rsid w:val="00DA4DE1"/>
    <w:rsid w:val="00DA54BD"/>
    <w:rsid w:val="00DA7AFE"/>
    <w:rsid w:val="00DB1D43"/>
    <w:rsid w:val="00DB6005"/>
    <w:rsid w:val="00DB7043"/>
    <w:rsid w:val="00DC00A6"/>
    <w:rsid w:val="00DC4DEA"/>
    <w:rsid w:val="00DD08D3"/>
    <w:rsid w:val="00DD777E"/>
    <w:rsid w:val="00DE5DBA"/>
    <w:rsid w:val="00DE7BDE"/>
    <w:rsid w:val="00DE7EE5"/>
    <w:rsid w:val="00DF056E"/>
    <w:rsid w:val="00DF6C79"/>
    <w:rsid w:val="00DF6D97"/>
    <w:rsid w:val="00E021A0"/>
    <w:rsid w:val="00E0459C"/>
    <w:rsid w:val="00E04946"/>
    <w:rsid w:val="00E07BD0"/>
    <w:rsid w:val="00E101B1"/>
    <w:rsid w:val="00E10E9D"/>
    <w:rsid w:val="00E246CF"/>
    <w:rsid w:val="00E26ED0"/>
    <w:rsid w:val="00E321D8"/>
    <w:rsid w:val="00E34F8C"/>
    <w:rsid w:val="00E41AAF"/>
    <w:rsid w:val="00E44560"/>
    <w:rsid w:val="00E4478A"/>
    <w:rsid w:val="00E46C4E"/>
    <w:rsid w:val="00E47E64"/>
    <w:rsid w:val="00E52935"/>
    <w:rsid w:val="00E64776"/>
    <w:rsid w:val="00E65C4D"/>
    <w:rsid w:val="00E65D86"/>
    <w:rsid w:val="00E663AD"/>
    <w:rsid w:val="00E663D1"/>
    <w:rsid w:val="00E71011"/>
    <w:rsid w:val="00E721B8"/>
    <w:rsid w:val="00E748EF"/>
    <w:rsid w:val="00E83283"/>
    <w:rsid w:val="00E86881"/>
    <w:rsid w:val="00E90194"/>
    <w:rsid w:val="00E95443"/>
    <w:rsid w:val="00E97F51"/>
    <w:rsid w:val="00EA0547"/>
    <w:rsid w:val="00EA0677"/>
    <w:rsid w:val="00EA5ABC"/>
    <w:rsid w:val="00EB38AF"/>
    <w:rsid w:val="00EB6547"/>
    <w:rsid w:val="00EC052A"/>
    <w:rsid w:val="00EC445C"/>
    <w:rsid w:val="00EC5282"/>
    <w:rsid w:val="00EC5FA1"/>
    <w:rsid w:val="00ED03AB"/>
    <w:rsid w:val="00ED68D9"/>
    <w:rsid w:val="00EE3FE2"/>
    <w:rsid w:val="00EF05CF"/>
    <w:rsid w:val="00EF0DC4"/>
    <w:rsid w:val="00EF16AB"/>
    <w:rsid w:val="00EF2242"/>
    <w:rsid w:val="00EF4512"/>
    <w:rsid w:val="00F12286"/>
    <w:rsid w:val="00F12496"/>
    <w:rsid w:val="00F14C09"/>
    <w:rsid w:val="00F15555"/>
    <w:rsid w:val="00F25A37"/>
    <w:rsid w:val="00F25F87"/>
    <w:rsid w:val="00F260FA"/>
    <w:rsid w:val="00F2626F"/>
    <w:rsid w:val="00F36415"/>
    <w:rsid w:val="00F44A4C"/>
    <w:rsid w:val="00F46A68"/>
    <w:rsid w:val="00F474E6"/>
    <w:rsid w:val="00F53237"/>
    <w:rsid w:val="00F57ED8"/>
    <w:rsid w:val="00F63299"/>
    <w:rsid w:val="00F66765"/>
    <w:rsid w:val="00F706C1"/>
    <w:rsid w:val="00F71083"/>
    <w:rsid w:val="00F72CDC"/>
    <w:rsid w:val="00F748B2"/>
    <w:rsid w:val="00F76533"/>
    <w:rsid w:val="00F811B1"/>
    <w:rsid w:val="00F815A6"/>
    <w:rsid w:val="00F82CD2"/>
    <w:rsid w:val="00F86CD6"/>
    <w:rsid w:val="00F907E3"/>
    <w:rsid w:val="00F92422"/>
    <w:rsid w:val="00F94042"/>
    <w:rsid w:val="00FA5875"/>
    <w:rsid w:val="00FC2098"/>
    <w:rsid w:val="00FC290F"/>
    <w:rsid w:val="00FD0450"/>
    <w:rsid w:val="00FD20AE"/>
    <w:rsid w:val="00FD2231"/>
    <w:rsid w:val="00FD53A5"/>
    <w:rsid w:val="00FD610D"/>
    <w:rsid w:val="00FE37DE"/>
    <w:rsid w:val="00FE67F9"/>
    <w:rsid w:val="00FF3C22"/>
    <w:rsid w:val="00FF4A36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0A1A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C51C46"/>
  </w:style>
  <w:style w:type="paragraph" w:styleId="NormalWeb">
    <w:name w:val="Normal (Web)"/>
    <w:basedOn w:val="Normal"/>
    <w:uiPriority w:val="99"/>
    <w:unhideWhenUsed/>
    <w:rsid w:val="00C51C46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51C4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51C46"/>
    <w:rPr>
      <w:b/>
      <w:bCs/>
    </w:rPr>
  </w:style>
  <w:style w:type="paragraph" w:customStyle="1" w:styleId="gmail-msolistparagraph">
    <w:name w:val="gmail-msolistparagraph"/>
    <w:basedOn w:val="Normal"/>
    <w:rsid w:val="002E783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8F14F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7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30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FC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FC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m-2140960144456565563gmail-apple-converted-space">
    <w:name w:val="m_-2140960144456565563gmail-apple-converted-space"/>
    <w:basedOn w:val="DefaultParagraphFont"/>
    <w:rsid w:val="0038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u.hr/_download/repository/2021-12-07-Istrazivacka_strategija_Sveucilista_2021-2026.pdf" TargetMode="External"/><Relationship Id="rId13" Type="http://schemas.openxmlformats.org/officeDocument/2006/relationships/hyperlink" Target="http://www.unipu.hr/uploads/media/Istrazivacka_strategija_SJD_2016-2020_01.pdf" TargetMode="External"/><Relationship Id="rId18" Type="http://schemas.openxmlformats.org/officeDocument/2006/relationships/hyperlink" Target="http://www.unipu.hr/uploads/media/Istrazivacka_strategija_SJD_2016-2020_01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narodne-novine.nn.hr/clanci/sluzbeni/2014_10_124_2364.html" TargetMode="External"/><Relationship Id="rId12" Type="http://schemas.openxmlformats.org/officeDocument/2006/relationships/hyperlink" Target="https://www.unipu.hr/_news/93569/Strategija%20razvoja%20Sveucilista%202021.%20-%202026..pdf" TargetMode="External"/><Relationship Id="rId17" Type="http://schemas.openxmlformats.org/officeDocument/2006/relationships/hyperlink" Target="http://www.kvalifikacije.hr/sites/default/files/documents-publications/2017-05/Strategija%20CPU%20i%20razvoja%20karijere%20u%20RH%202016.-2020.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rukturnifondovi.hr/wp-content/uploads/2017/03/Strategija-EUROPA-2020.-hr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ra-istria.hr/fileadmin/dokumenti/Izdvojeno/161221_Strategija_obrazovanj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arodne-novine.nn.hr/clanci/sluzbeni/2014_10_124_2364.html" TargetMode="External"/><Relationship Id="rId10" Type="http://schemas.openxmlformats.org/officeDocument/2006/relationships/hyperlink" Target="http://www.istra-istria.hr/index.php?id=2948" TargetMode="External"/><Relationship Id="rId19" Type="http://schemas.openxmlformats.org/officeDocument/2006/relationships/hyperlink" Target="http://public.mzos.hr/Default.aspx?art=13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rodne-novine.nn.hr/clanci/sluzbeni/2014_10_124_2364.html" TargetMode="External"/><Relationship Id="rId14" Type="http://schemas.openxmlformats.org/officeDocument/2006/relationships/hyperlink" Target="http://www.strukturnifondovi.hr/op-konkurentnost-i-kohezija-2014-2020-77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17</Pages>
  <Words>5012</Words>
  <Characters>28575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Ines Mirković</cp:lastModifiedBy>
  <cp:revision>14</cp:revision>
  <cp:lastPrinted>2022-09-27T10:56:00Z</cp:lastPrinted>
  <dcterms:created xsi:type="dcterms:W3CDTF">2023-12-13T09:32:00Z</dcterms:created>
  <dcterms:modified xsi:type="dcterms:W3CDTF">2023-12-14T00:02:00Z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5b3de1d48b06cff77e558c18bdcb5e24fd5ed37e0801ec35ac29b8b35559cec8</vt:lpwstr>
  </property>
</Properties>
</file>